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8F6DE0">
      <w:pPr>
        <w:bidi w:val="0"/>
        <w:jc w:val="center"/>
        <w:rPr>
          <w:rFonts w:hint="eastAsia" w:ascii="方正小标宋简体" w:hAnsi="方正小标宋简体" w:eastAsia="方正小标宋简体" w:cs="方正小标宋简体"/>
          <w:b/>
          <w:bCs/>
          <w:sz w:val="44"/>
          <w:szCs w:val="44"/>
          <w:lang w:val="en-US" w:eastAsia="zh-CN"/>
        </w:rPr>
      </w:pPr>
      <w:r>
        <w:rPr>
          <w:rFonts w:hint="eastAsia" w:ascii="方正小标宋简体" w:hAnsi="方正小标宋简体" w:eastAsia="方正小标宋简体" w:cs="方正小标宋简体"/>
          <w:b/>
          <w:bCs/>
          <w:sz w:val="44"/>
          <w:szCs w:val="44"/>
          <w:lang w:val="en-US" w:eastAsia="zh-CN"/>
        </w:rPr>
        <w:t>智方云法律</w:t>
      </w:r>
      <w:r>
        <w:rPr>
          <w:rFonts w:hint="default" w:ascii="Times New Roman" w:hAnsi="Times New Roman" w:eastAsia="方正小标宋简体" w:cs="Times New Roman"/>
          <w:b/>
          <w:bCs/>
          <w:sz w:val="44"/>
          <w:szCs w:val="44"/>
          <w:lang w:val="en-US" w:eastAsia="zh-CN"/>
        </w:rPr>
        <w:t xml:space="preserve"> Agent</w:t>
      </w:r>
      <w:r>
        <w:rPr>
          <w:rFonts w:hint="eastAsia" w:ascii="方正小标宋简体" w:hAnsi="方正小标宋简体" w:eastAsia="方正小标宋简体" w:cs="方正小标宋简体"/>
          <w:b/>
          <w:bCs/>
          <w:sz w:val="44"/>
          <w:szCs w:val="44"/>
          <w:lang w:val="en-US" w:eastAsia="zh-CN"/>
        </w:rPr>
        <w:t xml:space="preserve"> 应用定制服务合同</w:t>
      </w:r>
    </w:p>
    <w:p>
      <w:pPr>
        <w:jc w:val="right"/>
      </w:pPr>
      <w:r>
        <w:rPr>
          <w:b/>
        </w:rPr>
        <w:t>合同编号：CUBECLOUD-LEGALAGENT-2026-P01</w:t>
      </w:r>
    </w:p>
    <w:p w14:paraId="24E60CEA">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r/>
    </w:p>
    <w:p w14:paraId="60CB1124">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r/>
    </w:p>
    <w:p w14:paraId="1B3093FF">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r/>
    </w:p>
    <w:p w14:paraId="329B0E90">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甲方（委托方）：</w:t>
      </w:r>
      <w:r>
        <w:rPr>
          <w:rFonts w:hint="eastAsia" w:ascii="方正仿宋_GB2312" w:hAnsi="方正仿宋_GB2312" w:cs="方正仿宋_GB2312"/>
          <w:u w:val="single"/>
          <w:lang w:val="en-US" w:eastAsia="zh-CN"/>
        </w:rPr>
      </w:r>
      <w:r>
        <w:rPr>
          <w:rFonts w:hint="eastAsia" w:ascii="方正仿宋_GB2312" w:hAnsi="方正仿宋_GB2312" w:eastAsia="方正仿宋_GB2312" w:cs="方正仿宋_GB2312"/>
          <w:u w:val="single"/>
          <w:lang w:val="en-US" w:eastAsia="zh-CN"/>
        </w:rPr>
      </w:r>
      <w:r>
        <w:rPr>
          <w:rFonts w:hint="eastAsia" w:ascii="方正仿宋_GB2312" w:hAnsi="方正仿宋_GB2312" w:eastAsia="方正仿宋_GB2312" w:cs="方正仿宋_GB2312"/>
          <w:lang w:val="en-US" w:eastAsia="zh-CN"/>
        </w:rPr>
      </w:r>
    </w:p>
    <w:p w14:paraId="3FF4BEE3">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地       址：</w:t>
      </w:r>
      <w:r>
        <w:rPr>
          <w:rFonts w:hint="eastAsia" w:ascii="方正仿宋_GB2312" w:hAnsi="方正仿宋_GB2312" w:cs="方正仿宋_GB2312"/>
          <w:u w:val="single"/>
          <w:lang w:val="en-US" w:eastAsia="zh-CN"/>
        </w:rPr>
      </w:r>
      <w:r>
        <w:rPr>
          <w:rFonts w:hint="eastAsia" w:ascii="方正仿宋_GB2312" w:hAnsi="方正仿宋_GB2312" w:eastAsia="方正仿宋_GB2312" w:cs="方正仿宋_GB2312"/>
          <w:u w:val="single"/>
          <w:lang w:val="en-US" w:eastAsia="zh-CN"/>
        </w:rPr>
      </w:r>
      <w:r>
        <w:rPr>
          <w:rFonts w:hint="eastAsia" w:ascii="方正仿宋_GB2312" w:hAnsi="方正仿宋_GB2312" w:eastAsia="方正仿宋_GB2312" w:cs="方正仿宋_GB2312"/>
          <w:lang w:val="en-US" w:eastAsia="zh-CN"/>
        </w:rPr>
      </w:r>
    </w:p>
    <w:p w14:paraId="22DB30B6">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联   系  人：</w:t>
      </w:r>
      <w:r>
        <w:rPr>
          <w:rFonts w:hint="eastAsia" w:ascii="方正仿宋_GB2312" w:hAnsi="方正仿宋_GB2312" w:cs="方正仿宋_GB2312"/>
          <w:u w:val="single"/>
          <w:lang w:val="en-US" w:eastAsia="zh-CN"/>
        </w:rPr>
      </w:r>
      <w:r>
        <w:rPr>
          <w:rFonts w:hint="eastAsia" w:ascii="方正仿宋_GB2312" w:hAnsi="方正仿宋_GB2312" w:eastAsia="方正仿宋_GB2312" w:cs="方正仿宋_GB2312"/>
          <w:u w:val="single"/>
          <w:lang w:val="en-US" w:eastAsia="zh-CN"/>
        </w:rPr>
      </w:r>
      <w:r>
        <w:rPr>
          <w:rFonts w:hint="eastAsia" w:ascii="方正仿宋_GB2312" w:hAnsi="方正仿宋_GB2312" w:eastAsia="方正仿宋_GB2312" w:cs="方正仿宋_GB2312"/>
          <w:lang w:val="en-US" w:eastAsia="zh-CN"/>
        </w:rPr>
      </w:r>
    </w:p>
    <w:p w14:paraId="26278488">
      <w:pPr>
        <w:bidi w:val="0"/>
        <w:rPr>
          <w:rFonts w:hint="default"/>
          <w:lang w:val="en-US" w:eastAsia="zh-CN"/>
        </w:rPr>
      </w:pPr>
      <w:r>
        <w:rPr>
          <w:rFonts w:hint="eastAsia" w:ascii="方正仿宋_GB2312" w:hAnsi="方正仿宋_GB2312" w:eastAsia="方正仿宋_GB2312" w:cs="方正仿宋_GB2312"/>
          <w:lang w:val="en-US" w:eastAsia="zh-CN"/>
        </w:rPr>
        <w:t>联 系 方 式：</w:t>
      </w:r>
      <w:r>
        <w:rPr>
          <w:rFonts w:hint="eastAsia" w:ascii="方正仿宋_GB2312" w:hAnsi="方正仿宋_GB2312" w:cs="方正仿宋_GB2312"/>
          <w:u w:val="single"/>
          <w:lang w:val="en-US" w:eastAsia="zh-CN"/>
        </w:rPr>
      </w:r>
      <w:r>
        <w:rPr>
          <w:rFonts w:hint="eastAsia" w:ascii="方正仿宋_GB2312" w:hAnsi="方正仿宋_GB2312" w:eastAsia="方正仿宋_GB2312" w:cs="方正仿宋_GB2312"/>
          <w:u w:val="single"/>
          <w:lang w:val="en-US" w:eastAsia="zh-CN"/>
        </w:rPr>
      </w:r>
      <w:r>
        <w:rPr>
          <w:rFonts w:hint="eastAsia" w:ascii="方正仿宋_GB2312" w:hAnsi="方正仿宋_GB2312" w:eastAsia="方正仿宋_GB2312" w:cs="方正仿宋_GB2312"/>
          <w:lang w:val="en-US" w:eastAsia="zh-CN"/>
        </w:rPr>
      </w:r>
      <w:r>
        <w:rPr>
          <w:rFonts w:hint="eastAsia"/>
          <w:lang w:val="en-US" w:eastAsia="zh-CN"/>
        </w:rPr>
      </w:r>
    </w:p>
    <w:p w14:paraId="7AF76705">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r/>
    </w:p>
    <w:p w14:paraId="3CADFA62">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r/>
    </w:p>
    <w:p w14:paraId="58D5594B">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r/>
    </w:p>
    <w:p w14:paraId="77EB12EE">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r/>
    </w:p>
    <w:p w14:paraId="04EFA10B">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r/>
    </w:p>
    <w:p w14:paraId="3313980E">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r/>
    </w:p>
    <w:p w14:paraId="238EFD9E">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乙方（服务方）：</w:t>
      </w:r>
      <w:r>
        <w:rPr>
          <w:rFonts w:hint="eastAsia" w:ascii="方正仿宋_GB2312" w:hAnsi="方正仿宋_GB2312" w:cs="方正仿宋_GB2312"/>
          <w:u w:val="single"/>
          <w:lang w:val="en-US" w:eastAsia="zh-CN"/>
        </w:rPr>
      </w:r>
      <w:r>
        <w:rPr>
          <w:rFonts w:hint="eastAsia" w:ascii="方正仿宋_GB2312" w:hAnsi="方正仿宋_GB2312" w:eastAsia="方正仿宋_GB2312" w:cs="方正仿宋_GB2312"/>
          <w:u w:val="single"/>
          <w:lang w:val="en-US" w:eastAsia="zh-CN"/>
        </w:rPr>
      </w:r>
      <w:r>
        <w:rPr>
          <w:rFonts w:hint="eastAsia" w:ascii="方正仿宋_GB2312" w:hAnsi="方正仿宋_GB2312" w:eastAsia="方正仿宋_GB2312" w:cs="方正仿宋_GB2312"/>
          <w:lang w:val="en-US" w:eastAsia="zh-CN"/>
        </w:rPr>
      </w:r>
    </w:p>
    <w:p w14:paraId="62E34D5B">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地       址：</w:t>
      </w:r>
      <w:r>
        <w:rPr>
          <w:rFonts w:hint="eastAsia" w:ascii="方正仿宋_GB2312" w:hAnsi="方正仿宋_GB2312" w:cs="方正仿宋_GB2312"/>
          <w:u w:val="single"/>
          <w:lang w:val="en-US" w:eastAsia="zh-CN"/>
        </w:rPr>
      </w:r>
      <w:r>
        <w:rPr>
          <w:rFonts w:hint="eastAsia" w:ascii="方正仿宋_GB2312" w:hAnsi="方正仿宋_GB2312" w:eastAsia="方正仿宋_GB2312" w:cs="方正仿宋_GB2312"/>
          <w:u w:val="single"/>
          <w:lang w:val="en-US" w:eastAsia="zh-CN"/>
        </w:rPr>
      </w:r>
      <w:r>
        <w:rPr>
          <w:rFonts w:hint="eastAsia" w:ascii="方正仿宋_GB2312" w:hAnsi="方正仿宋_GB2312" w:eastAsia="方正仿宋_GB2312" w:cs="方正仿宋_GB2312"/>
          <w:lang w:val="en-US" w:eastAsia="zh-CN"/>
        </w:rPr>
      </w:r>
    </w:p>
    <w:p w14:paraId="21A462B0">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联   系  人：</w:t>
      </w:r>
      <w:r>
        <w:rPr>
          <w:rFonts w:hint="eastAsia" w:ascii="方正仿宋_GB2312" w:hAnsi="方正仿宋_GB2312" w:cs="方正仿宋_GB2312"/>
          <w:u w:val="single"/>
          <w:lang w:val="en-US" w:eastAsia="zh-CN"/>
        </w:rPr>
      </w:r>
      <w:r>
        <w:rPr>
          <w:rFonts w:hint="eastAsia" w:ascii="方正仿宋_GB2312" w:hAnsi="方正仿宋_GB2312" w:eastAsia="方正仿宋_GB2312" w:cs="方正仿宋_GB2312"/>
          <w:u w:val="single"/>
          <w:lang w:val="en-US" w:eastAsia="zh-CN"/>
        </w:rPr>
      </w:r>
      <w:r>
        <w:rPr>
          <w:rFonts w:hint="eastAsia" w:ascii="方正仿宋_GB2312" w:hAnsi="方正仿宋_GB2312" w:eastAsia="方正仿宋_GB2312" w:cs="方正仿宋_GB2312"/>
          <w:lang w:val="en-US" w:eastAsia="zh-CN"/>
        </w:rPr>
      </w:r>
    </w:p>
    <w:p w14:paraId="0247E57C">
      <w:pPr>
        <w:bidi w:val="0"/>
        <w:rPr>
          <w:rFonts w:hint="eastAsia" w:ascii="方正方俊黑" w:hAnsi="方正方俊黑" w:eastAsia="方正方俊黑" w:cs="方正方俊黑"/>
          <w:lang w:val="en-US" w:eastAsia="zh-CN"/>
        </w:rPr>
      </w:pPr>
      <w:r>
        <w:rPr>
          <w:rFonts w:hint="eastAsia" w:ascii="方正仿宋_GB2312" w:hAnsi="方正仿宋_GB2312" w:eastAsia="方正仿宋_GB2312" w:cs="方正仿宋_GB2312"/>
          <w:lang w:val="en-US" w:eastAsia="zh-CN"/>
        </w:rPr>
        <w:t>联 系 方 式：</w:t>
      </w:r>
      <w:r>
        <w:rPr>
          <w:rFonts w:hint="eastAsia" w:ascii="方正仿宋_GB2312" w:hAnsi="方正仿宋_GB2312" w:cs="方正仿宋_GB2312"/>
          <w:u w:val="single"/>
          <w:lang w:val="en-US" w:eastAsia="zh-CN"/>
        </w:rPr>
      </w:r>
      <w:r>
        <w:rPr>
          <w:rFonts w:hint="eastAsia" w:ascii="方正仿宋_GB2312" w:hAnsi="方正仿宋_GB2312" w:eastAsia="方正仿宋_GB2312" w:cs="方正仿宋_GB2312"/>
          <w:u w:val="single"/>
          <w:lang w:val="en-US" w:eastAsia="zh-CN"/>
        </w:rPr>
      </w:r>
      <w:r>
        <w:rPr>
          <w:rFonts w:hint="eastAsia" w:ascii="方正方俊黑" w:hAnsi="方正方俊黑" w:eastAsia="方正方俊黑" w:cs="方正方俊黑"/>
          <w:lang w:val="en-US" w:eastAsia="zh-CN"/>
        </w:rPr>
      </w:r>
    </w:p>
    <w:p w14:paraId="3ACF2A8C">
      <w:pPr>
        <w:widowControl w:val="0"/>
        <w:jc w:val="both"/>
        <w:rPr>
          <w:rFonts w:asciiTheme="minorHAnsi" w:hAnsiTheme="minorHAnsi" w:eastAsiaTheme="minorEastAsia" w:cstheme="minorBidi"/>
          <w:kern w:val="2"/>
          <w:sz w:val="21"/>
          <w:szCs w:val="24"/>
          <w:lang w:val="en-US" w:eastAsia="zh-CN" w:bidi="ar-SA"/>
        </w:rPr>
      </w:pPr>
      <w:r/>
    </w:p>
    <w:p w14:paraId="09A55415">
      <w:pPr>
        <w:bidi w:val="0"/>
        <w:spacing w:line="360" w:lineRule="auto"/>
        <w:ind w:left="0" w:leftChars="0" w:firstLine="560" w:firstLineChars="200"/>
        <w:rPr>
          <w:rFonts w:hint="eastAsia"/>
        </w:rPr>
      </w:pPr>
      <w:r>
        <w:rPr>
          <w:rFonts w:hint="eastAsia"/>
        </w:rPr>
        <w:t>鉴于甲方拟基于本地 AI 系统开展法律 Agent 应用实操、学习、验证及内部能力建设，乙方具备法律 Agent 应用适配、工作流配置、知识基础设施建设及顾问支持能力；双方确认，本合同项下交付物为 Pacgate 律所 Phase 1 本地试点与开源法律 AI 部署支持，不包含面向外部客户的正式 SaaS 产品开发、客户门户、多租户系统、计费、运维监控或商业化平台建设；Phase 2 商业化平台的模块范围、团队配置与预算区间，应在 Phase 1 验收完成且双方对试点成果达成共识后另行提出。经友好协商，双方就本合同项下事宜达成本协议。</w:t>
      </w:r>
      <w:r>
        <w:rPr>
          <w:rFonts w:hint="default" w:ascii="Times New Roman" w:hAnsi="Times New Roman" w:cs="Times New Roman"/>
        </w:rPr>
      </w:r>
      <w:r>
        <w:rPr>
          <w:rFonts w:hint="eastAsia"/>
        </w:rPr>
      </w:r>
      <w:r>
        <w:rPr>
          <w:rFonts w:hint="default" w:ascii="Times New Roman" w:hAnsi="Times New Roman" w:cs="Times New Roman"/>
        </w:rPr>
      </w:r>
      <w:r>
        <w:rPr>
          <w:rFonts w:hint="eastAsia"/>
        </w:rPr>
      </w:r>
      <w:r>
        <w:rPr>
          <w:rFonts w:hint="default" w:ascii="Times New Roman" w:hAnsi="Times New Roman" w:cs="Times New Roman"/>
        </w:rPr>
      </w:r>
      <w:r>
        <w:rPr>
          <w:rFonts w:hint="eastAsia"/>
        </w:rPr>
      </w:r>
    </w:p>
    <w:p w14:paraId="55B59828">
      <w:pPr>
        <w:pStyle w:val="2"/>
        <w:bidi w:val="0"/>
        <w:rPr>
          <w:rFonts w:hint="eastAsia"/>
        </w:rPr>
      </w:pPr>
      <w:r>
        <w:rPr>
          <w:rFonts w:hint="eastAsia"/>
          <w:lang w:val="en-US" w:eastAsia="zh-CN"/>
        </w:rPr>
        <w:t xml:space="preserve">第一条  </w:t>
      </w:r>
      <w:r>
        <w:rPr>
          <w:rFonts w:hint="eastAsia"/>
        </w:rPr>
        <w:t>合同目的</w:t>
      </w:r>
    </w:p>
    <w:p w14:paraId="666C40B4">
      <w:pPr>
        <w:bidi w:val="0"/>
        <w:spacing w:line="360" w:lineRule="auto"/>
        <w:ind w:left="0" w:leftChars="0" w:firstLine="560" w:firstLineChars="200"/>
        <w:rPr>
          <w:rFonts w:hint="eastAsia"/>
        </w:rPr>
      </w:pPr>
      <w:r>
        <w:rPr>
          <w:rFonts w:hint="eastAsia"/>
        </w:rPr>
        <w:t>乙方根据本合同及《智方云产品及服务统一选购表》，为甲方提供法律</w:t>
      </w:r>
      <w:r>
        <w:rPr>
          <w:rFonts w:hint="default" w:ascii="Times New Roman" w:hAnsi="Times New Roman" w:cs="Times New Roman"/>
        </w:rPr>
        <w:t xml:space="preserve"> Agent </w:t>
      </w:r>
      <w:r>
        <w:rPr>
          <w:rFonts w:hint="eastAsia"/>
        </w:rPr>
        <w:t>应用定制、起步版私有知识基础设施设置及相关顾问支持服务，帮助甲方在</w:t>
      </w:r>
      <w:bookmarkStart w:id="0" w:name="_GoBack"/>
      <w:bookmarkEnd w:id="0"/>
      <w:r>
        <w:rPr>
          <w:rFonts w:hint="eastAsia"/>
        </w:rPr>
        <w:t>内部法律工作场景中开展</w:t>
      </w:r>
      <w:r>
        <w:rPr>
          <w:rFonts w:hint="default" w:ascii="Times New Roman" w:hAnsi="Times New Roman" w:cs="Times New Roman"/>
        </w:rPr>
        <w:t xml:space="preserve"> AI </w:t>
      </w:r>
      <w:r>
        <w:rPr>
          <w:rFonts w:hint="eastAsia"/>
        </w:rPr>
        <w:t>工作流实操与能力沉淀。</w:t>
      </w:r>
    </w:p>
    <w:p w14:paraId="7E0BC5D2">
      <w:pPr>
        <w:pStyle w:val="2"/>
        <w:bidi w:val="0"/>
        <w:rPr>
          <w:rFonts w:hint="eastAsia"/>
        </w:rPr>
      </w:pPr>
      <w:r>
        <w:rPr>
          <w:rFonts w:hint="eastAsia"/>
          <w:lang w:val="en-US" w:eastAsia="zh-CN"/>
        </w:rPr>
        <w:t xml:space="preserve">第二条  </w:t>
      </w:r>
      <w:r>
        <w:rPr>
          <w:rFonts w:hint="eastAsia"/>
        </w:rPr>
        <w:t>服务内容</w:t>
      </w:r>
    </w:p>
    <w:p w14:paraId="35C8B7CA">
      <w:pPr>
        <w:bidi w:val="0"/>
        <w:spacing w:line="360" w:lineRule="auto"/>
        <w:ind w:left="0" w:leftChars="0" w:firstLine="560" w:firstLineChars="200"/>
        <w:rPr>
          <w:rFonts w:hint="eastAsia"/>
        </w:rPr>
      </w:pPr>
      <w:r>
        <w:rPr>
          <w:rFonts w:hint="eastAsia"/>
        </w:rPr>
        <w:t>本合同项下具体服务内容以双方确认的《智方云产品及服务统一选购表》中标注适用于本合同的项目为准。基础服务范围包括：</w:t>
      </w:r>
    </w:p>
    <w:p w14:paraId="48951BBE">
      <w:pPr>
        <w:numPr>
          <w:ilvl w:val="0"/>
          <w:numId w:val="1"/>
        </w:numPr>
        <w:bidi w:val="0"/>
        <w:spacing w:line="360" w:lineRule="auto"/>
        <w:ind w:left="0" w:leftChars="0" w:firstLine="560" w:firstLineChars="200"/>
        <w:rPr>
          <w:rFonts w:hint="eastAsia"/>
        </w:rPr>
      </w:pPr>
      <w:r>
        <w:rPr>
          <w:rFonts w:hint="default" w:ascii="Times New Roman" w:hAnsi="Times New Roman" w:cs="Times New Roman"/>
        </w:rPr>
        <w:t>Claude for Legal</w:t>
      </w:r>
      <w:r>
        <w:rPr>
          <w:rFonts w:hint="eastAsia"/>
        </w:rPr>
        <w:t xml:space="preserve"> 适配版本：重点参考</w:t>
      </w:r>
      <w:r>
        <w:rPr>
          <w:rFonts w:hint="default" w:ascii="Times New Roman" w:hAnsi="Times New Roman" w:cs="Times New Roman"/>
        </w:rPr>
        <w:t xml:space="preserve"> practice bundle</w:t>
      </w:r>
      <w:r>
        <w:rPr>
          <w:rFonts w:hint="eastAsia"/>
        </w:rPr>
        <w:t>、</w:t>
      </w:r>
      <w:r>
        <w:rPr>
          <w:rFonts w:hint="default" w:ascii="Times New Roman" w:hAnsi="Times New Roman" w:cs="Times New Roman"/>
        </w:rPr>
        <w:t>playbook</w:t>
      </w:r>
      <w:r>
        <w:rPr>
          <w:rFonts w:hint="eastAsia"/>
        </w:rPr>
        <w:t>、connector 及律师审核型工作流，形成适用于甲方内部实操的基础流程。</w:t>
      </w:r>
    </w:p>
    <w:p w14:paraId="6A83E1FC">
      <w:pPr>
        <w:numPr>
          <w:ilvl w:val="0"/>
          <w:numId w:val="1"/>
        </w:numPr>
        <w:bidi w:val="0"/>
        <w:spacing w:line="360" w:lineRule="auto"/>
        <w:ind w:left="0" w:leftChars="0" w:firstLine="560" w:firstLineChars="200"/>
        <w:rPr>
          <w:rFonts w:hint="eastAsia"/>
        </w:rPr>
      </w:pPr>
      <w:r>
        <w:rPr>
          <w:rFonts w:hint="default" w:ascii="Times New Roman" w:hAnsi="Times New Roman" w:cs="Times New Roman"/>
        </w:rPr>
        <w:t>Lavern</w:t>
      </w:r>
      <w:r>
        <w:rPr>
          <w:rFonts w:hint="eastAsia"/>
        </w:rPr>
        <w:t xml:space="preserve"> 适配版本：重点参考本地多 </w:t>
      </w:r>
      <w:r>
        <w:rPr>
          <w:rFonts w:hint="default" w:ascii="Times New Roman" w:hAnsi="Times New Roman" w:cs="Times New Roman"/>
        </w:rPr>
        <w:t xml:space="preserve">Agent </w:t>
      </w:r>
      <w:r>
        <w:rPr>
          <w:rFonts w:hint="eastAsia"/>
        </w:rPr>
        <w:t>编排、对抗式审查、验证闭环及交付件导向能力。</w:t>
      </w:r>
    </w:p>
    <w:p w14:paraId="6B6D4849">
      <w:pPr>
        <w:numPr>
          <w:ilvl w:val="0"/>
          <w:numId w:val="1"/>
        </w:numPr>
        <w:bidi w:val="0"/>
        <w:spacing w:line="360" w:lineRule="auto"/>
        <w:ind w:left="0" w:leftChars="0" w:firstLine="560" w:firstLineChars="200"/>
        <w:rPr>
          <w:rFonts w:hint="eastAsia"/>
        </w:rPr>
      </w:pPr>
      <w:r>
        <w:rPr>
          <w:rFonts w:hint="eastAsia"/>
        </w:rPr>
        <w:t>法律</w:t>
      </w:r>
      <w:r>
        <w:rPr>
          <w:rFonts w:hint="default" w:ascii="Times New Roman" w:hAnsi="Times New Roman" w:cs="Times New Roman"/>
        </w:rPr>
        <w:t xml:space="preserve"> Agent </w:t>
      </w:r>
      <w:r>
        <w:rPr>
          <w:rFonts w:hint="eastAsia"/>
        </w:rPr>
        <w:t>基础适配服务：包括任务类型梳理、角色配置、基础提示词、工作步骤、审核节点及交接说明。</w:t>
      </w:r>
    </w:p>
    <w:p w14:paraId="682DF3DD">
      <w:pPr>
        <w:numPr>
          <w:ilvl w:val="0"/>
          <w:numId w:val="1"/>
        </w:numPr>
        <w:bidi w:val="0"/>
        <w:spacing w:line="360" w:lineRule="auto"/>
        <w:ind w:left="0" w:leftChars="0" w:firstLine="560" w:firstLineChars="200"/>
        <w:rPr>
          <w:rFonts w:hint="eastAsia"/>
        </w:rPr>
      </w:pPr>
      <w:r>
        <w:rPr>
          <w:rFonts w:hint="eastAsia"/>
        </w:rPr>
        <w:t xml:space="preserve">起步版私有知识基础设施：包括 </w:t>
      </w:r>
      <w:r>
        <w:rPr>
          <w:rFonts w:hint="default" w:ascii="Times New Roman" w:hAnsi="Times New Roman" w:cs="Times New Roman"/>
        </w:rPr>
        <w:t>authority materials</w:t>
      </w:r>
      <w:r>
        <w:rPr>
          <w:rFonts w:hint="eastAsia"/>
        </w:rPr>
        <w:t>、客户先例、</w:t>
      </w:r>
      <w:r>
        <w:rPr>
          <w:rFonts w:hint="default" w:ascii="Times New Roman" w:hAnsi="Times New Roman" w:cs="Times New Roman"/>
        </w:rPr>
        <w:t xml:space="preserve">matter </w:t>
      </w:r>
      <w:r>
        <w:rPr>
          <w:rFonts w:hint="eastAsia"/>
        </w:rPr>
        <w:t>文件夹、</w:t>
      </w:r>
      <w:r>
        <w:rPr>
          <w:rFonts w:hint="default" w:ascii="Times New Roman" w:hAnsi="Times New Roman" w:cs="Times New Roman"/>
        </w:rPr>
        <w:t>context graph</w:t>
      </w:r>
      <w:r>
        <w:rPr>
          <w:rFonts w:hint="eastAsia"/>
        </w:rPr>
        <w:t xml:space="preserve">、基础权限表、本地检索及 </w:t>
      </w:r>
      <w:r>
        <w:rPr>
          <w:rFonts w:hint="default" w:ascii="Times New Roman" w:hAnsi="Times New Roman" w:cs="Times New Roman"/>
        </w:rPr>
        <w:t xml:space="preserve">RAG </w:t>
      </w:r>
      <w:r>
        <w:rPr>
          <w:rFonts w:hint="eastAsia"/>
        </w:rPr>
        <w:t>基础流程设置。</w:t>
      </w:r>
    </w:p>
    <w:p w14:paraId="3318C071">
      <w:pPr>
        <w:numPr>
          <w:ilvl w:val="0"/>
          <w:numId w:val="1"/>
        </w:numPr>
        <w:bidi w:val="0"/>
        <w:spacing w:line="360" w:lineRule="auto"/>
        <w:ind w:left="0" w:leftChars="0" w:firstLine="560" w:firstLineChars="200"/>
        <w:rPr>
          <w:rFonts w:hint="eastAsia"/>
        </w:rPr>
      </w:pPr>
      <w:r>
        <w:rPr>
          <w:rFonts w:hint="eastAsia"/>
        </w:rPr>
        <w:t>顾问与陪跑支持：包括远程或现场支持、工作流调优、</w:t>
      </w:r>
      <w:r>
        <w:rPr>
          <w:rFonts w:hint="default" w:ascii="Times New Roman" w:hAnsi="Times New Roman" w:cs="Times New Roman"/>
        </w:rPr>
        <w:t xml:space="preserve">connector </w:t>
      </w:r>
      <w:r>
        <w:rPr>
          <w:rFonts w:hint="eastAsia"/>
        </w:rPr>
        <w:t>规划、</w:t>
      </w:r>
      <w:r>
        <w:rPr>
          <w:rFonts w:hint="default" w:ascii="Times New Roman" w:hAnsi="Times New Roman" w:cs="Times New Roman"/>
        </w:rPr>
        <w:t xml:space="preserve">MCP </w:t>
      </w:r>
      <w:r>
        <w:rPr>
          <w:rFonts w:hint="eastAsia"/>
        </w:rPr>
        <w:t>扩展建议及第二阶段规划。</w:t>
      </w:r>
    </w:p>
    <w:p w14:paraId="25CE3E27">
      <w:pPr>
        <w:bidi w:val="0"/>
        <w:spacing w:line="360" w:lineRule="auto"/>
        <w:ind w:left="0" w:leftChars="0" w:firstLine="560" w:firstLineChars="200"/>
        <w:rPr>
          <w:rFonts w:hint="eastAsia"/>
        </w:rPr>
      </w:pPr>
      <w:r>
        <w:rPr>
          <w:rFonts w:hint="eastAsia"/>
        </w:rPr>
        <w:t>具体服务项目、数量、单价、金额、是否选购及是否计入合同金额，以统一选购表为准。</w:t>
      </w:r>
    </w:p>
    <w:p w14:paraId="1CDF30B0">
      <w:pPr>
        <w:pStyle w:val="2"/>
        <w:bidi w:val="0"/>
        <w:rPr>
          <w:rFonts w:hint="eastAsia"/>
        </w:rPr>
      </w:pPr>
      <w:r>
        <w:rPr>
          <w:rFonts w:hint="eastAsia"/>
          <w:lang w:val="en-US" w:eastAsia="zh-CN"/>
        </w:rPr>
        <w:t xml:space="preserve">第三条  </w:t>
      </w:r>
      <w:r>
        <w:rPr>
          <w:rFonts w:hint="eastAsia"/>
        </w:rPr>
        <w:t>统一选购表及合同金额</w:t>
      </w:r>
    </w:p>
    <w:p w14:paraId="663DCE29">
      <w:pPr>
        <w:numPr>
          <w:ilvl w:val="0"/>
          <w:numId w:val="2"/>
        </w:numPr>
        <w:bidi w:val="0"/>
        <w:spacing w:line="360" w:lineRule="auto"/>
        <w:ind w:left="0" w:leftChars="0" w:firstLine="560" w:firstLineChars="200"/>
        <w:rPr>
          <w:rFonts w:hint="eastAsia"/>
        </w:rPr>
      </w:pPr>
      <w:r>
        <w:rPr>
          <w:rFonts w:hint="eastAsia"/>
        </w:rPr>
        <w:t>《智方云产品及服务统一选购表》为本合同附件，可同时作为双方其他合同的共同附件。</w:t>
      </w:r>
    </w:p>
    <w:p w14:paraId="26B1ECB5">
      <w:pPr>
        <w:numPr>
          <w:ilvl w:val="0"/>
          <w:numId w:val="2"/>
        </w:numPr>
        <w:bidi w:val="0"/>
        <w:spacing w:line="360" w:lineRule="auto"/>
        <w:ind w:left="0" w:leftChars="0" w:firstLine="560" w:firstLineChars="200"/>
        <w:rPr>
          <w:rFonts w:hint="eastAsia"/>
        </w:rPr>
      </w:pPr>
      <w:r>
        <w:rPr>
          <w:rFonts w:hint="eastAsia"/>
        </w:rPr>
        <w:t>仅统一选购表中明确标注适用于本合同、已确认选购并计入本合同金额的项目，属于乙方本合同项下服务范围。</w:t>
      </w:r>
    </w:p>
    <w:p w14:paraId="2FA2989D">
      <w:pPr>
        <w:numPr>
          <w:ilvl w:val="0"/>
          <w:numId w:val="2"/>
        </w:numPr>
        <w:bidi w:val="0"/>
        <w:spacing w:line="360" w:lineRule="auto"/>
        <w:ind w:left="0" w:leftChars="0" w:firstLine="560" w:firstLineChars="200"/>
        <w:rPr>
          <w:rFonts w:hint="eastAsia"/>
        </w:rPr>
      </w:pPr>
      <w:r>
        <w:rPr>
          <w:rFonts w:hint="eastAsia"/>
        </w:rPr>
        <w:t>本合同总金额以双方确认的《智方云产品及服务统一选购表》中归属于本合同的最终应付金额为准；该金额为不含增值税金额。如甲方要求乙方开具增值税发票，税费由甲方另行承担，具体税率、发票类型及含税金额以双方书面确认或乙方依法开票为准</w:t>
      </w:r>
    </w:p>
    <w:p w14:paraId="652CAD6F">
      <w:pPr>
        <w:numPr>
          <w:ilvl w:val="0"/>
          <w:numId w:val="2"/>
        </w:numPr>
        <w:bidi w:val="0"/>
        <w:spacing w:line="360" w:lineRule="auto"/>
        <w:ind w:left="0" w:leftChars="0" w:firstLine="560" w:firstLineChars="200"/>
        <w:rPr>
          <w:rFonts w:hint="eastAsia"/>
        </w:rPr>
      </w:pPr>
      <w:r>
        <w:rPr>
          <w:rFonts w:hint="eastAsia"/>
        </w:rPr>
        <w:t>合同总金额：人民币 ¥ 40,000 元（大写：人民币肆万元整，不含增值税）。</w:t>
      </w:r>
      <w:r>
        <w:rPr>
          <w:rFonts w:hint="eastAsia" w:ascii="方正仿宋_GB2312" w:hAnsi="方正仿宋_GB2312" w:eastAsia="方正仿宋_GB2312" w:cs="方正仿宋_GB2312"/>
        </w:rPr>
      </w:r>
      <w:r>
        <w:rPr>
          <w:rFonts w:hint="eastAsia" w:ascii="方正仿宋_GB2312" w:hAnsi="方正仿宋_GB2312" w:cs="方正仿宋_GB2312"/>
          <w:u w:val="single"/>
          <w:lang w:val="en-US" w:eastAsia="zh-CN"/>
        </w:rPr>
      </w:r>
      <w:r>
        <w:rPr>
          <w:rFonts w:hint="eastAsia"/>
        </w:rPr>
      </w:r>
      <w:r>
        <w:rPr>
          <w:rFonts w:hint="eastAsia"/>
          <w:u w:val="single"/>
          <w:lang w:val="en-US" w:eastAsia="zh-CN"/>
        </w:rPr>
      </w:r>
      <w:r>
        <w:rPr>
          <w:rFonts w:hint="eastAsia"/>
        </w:rPr>
      </w:r>
    </w:p>
    <w:p w14:paraId="48570376">
      <w:pPr>
        <w:numPr>
          <w:ilvl w:val="0"/>
          <w:numId w:val="2"/>
        </w:numPr>
        <w:bidi w:val="0"/>
        <w:spacing w:line="360" w:lineRule="auto"/>
        <w:ind w:left="0" w:leftChars="0" w:firstLine="560" w:firstLineChars="200"/>
        <w:rPr>
          <w:rFonts w:hint="eastAsia"/>
        </w:rPr>
      </w:pPr>
      <w:r>
        <w:rPr>
          <w:rFonts w:hint="eastAsia"/>
        </w:rPr>
        <w:t>如合同正文与统一选购表不一致，涉及服务名称、数量、单价、优惠及应付金额的，以统一选购表为准；涉及服务边界、知识产权、数据归属、保密、违约责任及争议解决的，以本合同正文为准。</w:t>
      </w:r>
    </w:p>
    <w:p w14:paraId="2BF38AF9">
      <w:pPr>
        <w:pStyle w:val="2"/>
        <w:bidi w:val="0"/>
        <w:rPr>
          <w:rFonts w:hint="eastAsia"/>
        </w:rPr>
      </w:pPr>
      <w:r>
        <w:rPr>
          <w:rFonts w:hint="eastAsia"/>
          <w:lang w:val="en-US" w:eastAsia="zh-CN"/>
        </w:rPr>
        <w:t xml:space="preserve">第四条  </w:t>
      </w:r>
      <w:r>
        <w:rPr>
          <w:rFonts w:hint="eastAsia"/>
        </w:rPr>
        <w:t>服务边界</w:t>
      </w:r>
    </w:p>
    <w:p w14:paraId="01909F0C">
      <w:pPr>
        <w:numPr>
          <w:ilvl w:val="0"/>
          <w:numId w:val="3"/>
        </w:numPr>
        <w:bidi w:val="0"/>
        <w:spacing w:line="360" w:lineRule="auto"/>
        <w:ind w:left="0" w:leftChars="0" w:firstLine="560" w:firstLineChars="200"/>
        <w:rPr>
          <w:rFonts w:hint="eastAsia"/>
        </w:rPr>
      </w:pPr>
      <w:r>
        <w:rPr>
          <w:rFonts w:hint="eastAsia"/>
        </w:rPr>
        <w:t>本合同仅适用于法律</w:t>
      </w:r>
      <w:r>
        <w:rPr>
          <w:rFonts w:hint="default" w:ascii="Times New Roman" w:hAnsi="Times New Roman" w:cs="Times New Roman"/>
        </w:rPr>
        <w:t xml:space="preserve"> Agent </w:t>
      </w:r>
      <w:r>
        <w:rPr>
          <w:rFonts w:hint="eastAsia"/>
        </w:rPr>
        <w:t>应用定制、知识基础设施设置及顾问服务。</w:t>
      </w:r>
    </w:p>
    <w:p w14:paraId="746ADB6E">
      <w:pPr>
        <w:numPr>
          <w:ilvl w:val="0"/>
          <w:numId w:val="3"/>
        </w:numPr>
        <w:bidi w:val="0"/>
        <w:spacing w:line="360" w:lineRule="auto"/>
        <w:ind w:left="0" w:leftChars="0" w:firstLine="560" w:firstLineChars="200"/>
        <w:rPr>
          <w:rFonts w:hint="eastAsia"/>
        </w:rPr>
      </w:pPr>
      <w:r>
        <w:rPr>
          <w:rFonts w:hint="eastAsia"/>
        </w:rPr>
        <w:t xml:space="preserve">本合同不包含硬件设备采购、外接 </w:t>
      </w:r>
      <w:r>
        <w:rPr>
          <w:rFonts w:hint="default" w:ascii="Times New Roman" w:hAnsi="Times New Roman" w:cs="Times New Roman"/>
        </w:rPr>
        <w:t>GPU Dock</w:t>
      </w:r>
      <w:r>
        <w:rPr>
          <w:rFonts w:hint="eastAsia"/>
        </w:rPr>
        <w:t>、</w:t>
      </w:r>
      <w:r>
        <w:rPr>
          <w:rFonts w:hint="default" w:ascii="Times New Roman" w:hAnsi="Times New Roman" w:cs="Times New Roman"/>
        </w:rPr>
        <w:t xml:space="preserve">Cubecloud </w:t>
      </w:r>
      <w:r>
        <w:rPr>
          <w:rFonts w:hint="eastAsia"/>
        </w:rPr>
        <w:t xml:space="preserve">标准本地 </w:t>
      </w:r>
      <w:r>
        <w:rPr>
          <w:rFonts w:hint="default" w:ascii="Times New Roman" w:hAnsi="Times New Roman" w:cs="Times New Roman"/>
        </w:rPr>
        <w:t xml:space="preserve">AI </w:t>
      </w:r>
      <w:r>
        <w:rPr>
          <w:rFonts w:hint="eastAsia"/>
        </w:rPr>
        <w:t>层及</w:t>
      </w:r>
      <w:r>
        <w:rPr>
          <w:rFonts w:hint="default" w:ascii="Times New Roman" w:hAnsi="Times New Roman" w:cs="Times New Roman"/>
        </w:rPr>
        <w:t xml:space="preserve"> Cubecloud Agent OS </w:t>
      </w:r>
      <w:r>
        <w:rPr>
          <w:rFonts w:hint="eastAsia"/>
        </w:rPr>
        <w:t>表层标准交付。前述硬件及标准系统内容，应适用《智方云本地</w:t>
      </w:r>
      <w:r>
        <w:rPr>
          <w:rFonts w:hint="default" w:ascii="Times New Roman" w:hAnsi="Times New Roman" w:cs="Times New Roman"/>
        </w:rPr>
        <w:t xml:space="preserve"> AI </w:t>
      </w:r>
      <w:r>
        <w:rPr>
          <w:rFonts w:hint="eastAsia"/>
        </w:rPr>
        <w:t>硬件设备及标准系统交付合同》或双方另行签署的协议。</w:t>
      </w:r>
    </w:p>
    <w:p w14:paraId="00175A3A">
      <w:pPr>
        <w:numPr>
          <w:ilvl w:val="0"/>
          <w:numId w:val="3"/>
        </w:numPr>
        <w:bidi w:val="0"/>
        <w:spacing w:line="360" w:lineRule="auto"/>
        <w:ind w:left="0" w:leftChars="0" w:firstLine="560" w:firstLineChars="200"/>
        <w:rPr>
          <w:rFonts w:hint="eastAsia"/>
        </w:rPr>
      </w:pPr>
      <w:r>
        <w:rPr>
          <w:rFonts w:hint="eastAsia"/>
        </w:rPr>
        <w:t>本合同不包含甲方全部历史资料整理、完整知识库建设、复杂业务系统集成、第三方系统深度开发或全量数据治理，除非双方另有书面约定。</w:t>
      </w:r>
    </w:p>
    <w:p w14:paraId="4A483A94">
      <w:pPr>
        <w:numPr>
          <w:ilvl w:val="0"/>
          <w:numId w:val="3"/>
        </w:numPr>
        <w:bidi w:val="0"/>
        <w:spacing w:line="360" w:lineRule="auto"/>
        <w:ind w:left="0" w:leftChars="0" w:firstLine="560" w:firstLineChars="200"/>
        <w:rPr>
          <w:rFonts w:hint="eastAsia"/>
        </w:rPr>
      </w:pPr>
      <w:r>
        <w:rPr>
          <w:rFonts w:hint="eastAsia"/>
        </w:rPr>
        <w:t>未在本合同或《智方云产品及服务统一选购表》中明确归属于本合同、确认选购并计入本合同金额的任何产品、服务、功能、定制开发、深度适配、知识工程或顾问支持，均不属于乙方本合同项下交付或服务范围；相关需求由双方另行签署补充协议或按顾问小时另行计费。</w:t>
      </w:r>
    </w:p>
    <w:p w14:paraId="7E7849E6">
      <w:pPr>
        <w:numPr>
          <w:ilvl w:val="0"/>
          <w:numId w:val="3"/>
        </w:numPr>
        <w:bidi w:val="0"/>
        <w:spacing w:line="360" w:lineRule="auto"/>
        <w:ind w:left="0" w:leftChars="0" w:firstLine="560" w:firstLineChars="200"/>
        <w:rPr>
          <w:rFonts w:hint="eastAsia"/>
        </w:rPr>
      </w:pPr>
      <w:r>
        <w:rPr>
          <w:rFonts w:hint="eastAsia"/>
        </w:rPr>
        <w:t>顾问与陪跑支持如未在《智方云产品及服务统一选购表》中明确勾选、计费或注明包含，则不属于本合同已购服务；如需使用，由双方按另行签署的《智方云远程顾问服务订单》或本合同项下补充协议执行。</w:t>
      </w:r>
    </w:p>
    <w:p w14:paraId="05771B41">
      <w:pPr>
        <w:pStyle w:val="2"/>
        <w:bidi w:val="0"/>
        <w:rPr>
          <w:rFonts w:hint="eastAsia"/>
        </w:rPr>
      </w:pPr>
      <w:r>
        <w:rPr>
          <w:rFonts w:hint="eastAsia"/>
          <w:lang w:val="en-US" w:eastAsia="zh-CN"/>
        </w:rPr>
        <w:t xml:space="preserve">第五条  </w:t>
      </w:r>
      <w:r>
        <w:rPr>
          <w:rFonts w:hint="eastAsia"/>
        </w:rPr>
        <w:t>法律审查与使用责任</w:t>
      </w:r>
    </w:p>
    <w:p w14:paraId="7201B6FF">
      <w:pPr>
        <w:numPr>
          <w:ilvl w:val="0"/>
          <w:numId w:val="4"/>
        </w:numPr>
        <w:bidi w:val="0"/>
        <w:spacing w:line="360" w:lineRule="auto"/>
        <w:ind w:left="0" w:leftChars="0" w:firstLine="560" w:firstLineChars="200"/>
        <w:rPr>
          <w:rFonts w:hint="eastAsia"/>
        </w:rPr>
      </w:pPr>
      <w:r>
        <w:rPr>
          <w:rFonts w:hint="eastAsia"/>
        </w:rPr>
        <w:t>本合同项下法律</w:t>
      </w:r>
      <w:r>
        <w:rPr>
          <w:rFonts w:hint="default" w:ascii="Times New Roman" w:hAnsi="Times New Roman" w:cs="Times New Roman"/>
        </w:rPr>
        <w:t xml:space="preserve"> Agent </w:t>
      </w:r>
      <w:r>
        <w:rPr>
          <w:rFonts w:hint="eastAsia"/>
        </w:rPr>
        <w:t>应用仅作为甲方内部辅助分析、学习验证、流程演示及工作支持工具。</w:t>
      </w:r>
    </w:p>
    <w:p w14:paraId="77306DE5">
      <w:pPr>
        <w:numPr>
          <w:ilvl w:val="0"/>
          <w:numId w:val="4"/>
        </w:numPr>
        <w:bidi w:val="0"/>
        <w:spacing w:line="360" w:lineRule="auto"/>
        <w:ind w:left="0" w:leftChars="0" w:firstLine="560" w:firstLineChars="200"/>
        <w:rPr>
          <w:rFonts w:hint="eastAsia"/>
        </w:rPr>
      </w:pPr>
      <w:r>
        <w:rPr>
          <w:rFonts w:hint="default" w:ascii="Times New Roman" w:hAnsi="Times New Roman" w:cs="Times New Roman"/>
        </w:rPr>
        <w:t xml:space="preserve">AI </w:t>
      </w:r>
      <w:r>
        <w:rPr>
          <w:rFonts w:hint="eastAsia"/>
        </w:rPr>
        <w:t>输出内容不构成最终法律意见、执业判断、诉讼策略、监管判断或可直接对外使用的法律文件。</w:t>
      </w:r>
    </w:p>
    <w:p w14:paraId="6880D34A">
      <w:pPr>
        <w:numPr>
          <w:ilvl w:val="0"/>
          <w:numId w:val="4"/>
        </w:numPr>
        <w:bidi w:val="0"/>
        <w:spacing w:line="360" w:lineRule="auto"/>
        <w:ind w:left="0" w:leftChars="0" w:firstLine="560" w:firstLineChars="200"/>
        <w:rPr>
          <w:rFonts w:hint="eastAsia"/>
        </w:rPr>
      </w:pPr>
      <w:r>
        <w:rPr>
          <w:rFonts w:hint="eastAsia"/>
        </w:rPr>
        <w:t>甲方应安排具备相应资质或授权的专业人员对</w:t>
      </w:r>
      <w:r>
        <w:rPr>
          <w:rFonts w:hint="default" w:ascii="Times New Roman" w:hAnsi="Times New Roman" w:cs="Times New Roman"/>
        </w:rPr>
        <w:t xml:space="preserve"> AI </w:t>
      </w:r>
      <w:r>
        <w:rPr>
          <w:rFonts w:hint="eastAsia"/>
        </w:rPr>
        <w:t>输出内容进行审核、确认和最终使用。</w:t>
      </w:r>
    </w:p>
    <w:p w14:paraId="18FE39D0">
      <w:pPr>
        <w:numPr>
          <w:ilvl w:val="0"/>
          <w:numId w:val="4"/>
        </w:numPr>
        <w:bidi w:val="0"/>
        <w:spacing w:line="360" w:lineRule="auto"/>
        <w:ind w:left="0" w:leftChars="0" w:firstLine="560" w:firstLineChars="200"/>
        <w:rPr>
          <w:rFonts w:hint="eastAsia"/>
        </w:rPr>
      </w:pPr>
      <w:r>
        <w:rPr>
          <w:rFonts w:hint="eastAsia"/>
        </w:rPr>
        <w:t>因甲方未进行人工审核、超范围使用或对外直接使用</w:t>
      </w:r>
      <w:r>
        <w:rPr>
          <w:rFonts w:hint="default" w:ascii="Times New Roman" w:hAnsi="Times New Roman" w:cs="Times New Roman"/>
        </w:rPr>
        <w:t xml:space="preserve"> AI </w:t>
      </w:r>
      <w:r>
        <w:rPr>
          <w:rFonts w:hint="eastAsia"/>
        </w:rPr>
        <w:t>输出内容造成的后果，由甲方自行承担。</w:t>
      </w:r>
    </w:p>
    <w:p w14:paraId="551CC31A">
      <w:pPr>
        <w:numPr>
          <w:ilvl w:val="0"/>
          <w:numId w:val="4"/>
        </w:numPr>
        <w:bidi w:val="0"/>
        <w:spacing w:line="360" w:lineRule="auto"/>
        <w:ind w:left="0" w:leftChars="0" w:firstLine="560" w:firstLineChars="200"/>
        <w:rPr>
          <w:rFonts w:hint="eastAsia"/>
        </w:rPr>
      </w:pPr>
      <w:r>
        <w:rPr>
          <w:rFonts w:hint="eastAsia"/>
        </w:rPr>
        <w:t>乙方不对</w:t>
      </w:r>
      <w:r>
        <w:rPr>
          <w:rFonts w:hint="default" w:ascii="Times New Roman" w:hAnsi="Times New Roman" w:cs="Times New Roman"/>
        </w:rPr>
        <w:t xml:space="preserve"> AI </w:t>
      </w:r>
      <w:r>
        <w:rPr>
          <w:rFonts w:hint="eastAsia"/>
        </w:rPr>
        <w:t>输出内容的法律结论、商业判断、诉讼结果、监管结果或第三方采纳结果作出保证。</w:t>
      </w:r>
    </w:p>
    <w:p w14:paraId="148DA9C0">
      <w:pPr>
        <w:pStyle w:val="2"/>
        <w:bidi w:val="0"/>
        <w:rPr>
          <w:rFonts w:hint="eastAsia"/>
        </w:rPr>
      </w:pPr>
      <w:r>
        <w:rPr>
          <w:rFonts w:hint="eastAsia"/>
          <w:lang w:val="en-US" w:eastAsia="zh-CN"/>
        </w:rPr>
        <w:t xml:space="preserve">第六条  </w:t>
      </w:r>
      <w:r>
        <w:rPr>
          <w:rFonts w:hint="eastAsia"/>
        </w:rPr>
        <w:t>第三方系统与开源组件</w:t>
      </w:r>
    </w:p>
    <w:p w14:paraId="21D4C82B">
      <w:pPr>
        <w:numPr>
          <w:ilvl w:val="0"/>
          <w:numId w:val="5"/>
        </w:numPr>
        <w:bidi w:val="0"/>
        <w:spacing w:line="360" w:lineRule="auto"/>
        <w:ind w:left="0" w:leftChars="0" w:firstLine="560" w:firstLineChars="200"/>
        <w:rPr>
          <w:rFonts w:hint="eastAsia"/>
        </w:rPr>
      </w:pPr>
      <w:r>
        <w:rPr>
          <w:rFonts w:hint="eastAsia"/>
        </w:rPr>
        <w:t xml:space="preserve">本合同中提及的 </w:t>
      </w:r>
      <w:r>
        <w:rPr>
          <w:rFonts w:hint="default" w:ascii="Times New Roman" w:hAnsi="Times New Roman" w:cs="Times New Roman"/>
        </w:rPr>
        <w:t xml:space="preserve">Claude for Legal、Lavern </w:t>
      </w:r>
      <w:r>
        <w:rPr>
          <w:rFonts w:hint="eastAsia"/>
        </w:rPr>
        <w:t>等名称，仅用于说明乙方适配时参考的能力方向、系统模式或工作流特征。</w:t>
      </w:r>
    </w:p>
    <w:p w14:paraId="14B5C586">
      <w:pPr>
        <w:numPr>
          <w:ilvl w:val="0"/>
          <w:numId w:val="5"/>
        </w:numPr>
        <w:bidi w:val="0"/>
        <w:spacing w:line="360" w:lineRule="auto"/>
        <w:ind w:left="0" w:leftChars="0" w:firstLine="560" w:firstLineChars="200"/>
        <w:rPr>
          <w:rFonts w:hint="eastAsia"/>
        </w:rPr>
      </w:pPr>
      <w:r>
        <w:rPr>
          <w:rFonts w:hint="eastAsia"/>
        </w:rPr>
        <w:t>除双方另有书面约定外，乙方交付内容不代表乙方取得或转让任何第三方品牌、商标、原厂产品、商业授权或知识产权。</w:t>
      </w:r>
    </w:p>
    <w:p w14:paraId="21C56501">
      <w:pPr>
        <w:numPr>
          <w:ilvl w:val="0"/>
          <w:numId w:val="5"/>
        </w:numPr>
        <w:bidi w:val="0"/>
        <w:spacing w:line="360" w:lineRule="auto"/>
        <w:ind w:left="0" w:leftChars="0" w:firstLine="560" w:firstLineChars="200"/>
        <w:rPr>
          <w:rFonts w:hint="eastAsia"/>
        </w:rPr>
      </w:pPr>
      <w:r>
        <w:rPr>
          <w:rFonts w:hint="eastAsia"/>
        </w:rPr>
        <w:t>如服务过程中涉及开源组件、第三方模型、第三方工具或第三方接口，双方应遵守相应开源协议、服务条款、授权边界及合规要求。</w:t>
      </w:r>
    </w:p>
    <w:p w14:paraId="2D70EE55">
      <w:pPr>
        <w:numPr>
          <w:ilvl w:val="0"/>
          <w:numId w:val="5"/>
        </w:numPr>
        <w:bidi w:val="0"/>
        <w:spacing w:line="360" w:lineRule="auto"/>
        <w:ind w:left="0" w:leftChars="0" w:firstLine="560" w:firstLineChars="200"/>
        <w:rPr>
          <w:rFonts w:hint="eastAsia"/>
        </w:rPr>
      </w:pPr>
      <w:r>
        <w:rPr>
          <w:rFonts w:hint="eastAsia"/>
        </w:rPr>
        <w:t>因第三方服务、模型、接口、许可证或政策变化导致的功能调整，不视为乙方违约；相关新增工作量由双方另行确认。</w:t>
      </w:r>
    </w:p>
    <w:p w14:paraId="37112273">
      <w:pPr>
        <w:pStyle w:val="2"/>
        <w:bidi w:val="0"/>
        <w:rPr>
          <w:rFonts w:hint="eastAsia"/>
        </w:rPr>
      </w:pPr>
      <w:r>
        <w:rPr>
          <w:rFonts w:hint="eastAsia"/>
          <w:lang w:val="en-US" w:eastAsia="zh-CN"/>
        </w:rPr>
        <w:t xml:space="preserve">第七条  </w:t>
      </w:r>
      <w:r>
        <w:rPr>
          <w:rFonts w:hint="eastAsia"/>
        </w:rPr>
        <w:t>交付周期与验收</w:t>
      </w:r>
    </w:p>
    <w:p w14:paraId="6293F74C">
      <w:pPr>
        <w:numPr>
          <w:ilvl w:val="0"/>
          <w:numId w:val="6"/>
        </w:numPr>
        <w:bidi w:val="0"/>
        <w:spacing w:line="360" w:lineRule="auto"/>
        <w:ind w:left="0" w:leftChars="0" w:firstLine="560" w:firstLineChars="200"/>
        <w:rPr>
          <w:rFonts w:hint="eastAsia"/>
        </w:rPr>
      </w:pPr>
      <w:r>
        <w:rPr>
          <w:rFonts w:hint="eastAsia"/>
        </w:rPr>
        <w:t>乙方应在收到甲方应付款项、基础系统环境具备且甲方提供必要资料后，于 30 个工作日内完成基础适配与交付。前述必要资料至少包括：甲方业务范围、playbook草稿、模板样本、matter 文件夹结构及对应硬件已通过 HWOS 合同验收。</w:t>
      </w:r>
    </w:p>
    <w:p w14:paraId="0EA34FA0">
      <w:pPr>
        <w:numPr>
          <w:ilvl w:val="0"/>
          <w:numId w:val="6"/>
        </w:numPr>
        <w:bidi w:val="0"/>
        <w:spacing w:line="360" w:lineRule="auto"/>
        <w:ind w:left="0" w:leftChars="0" w:firstLine="560" w:firstLineChars="200"/>
        <w:rPr>
          <w:rFonts w:hint="eastAsia"/>
        </w:rPr>
      </w:pPr>
      <w:r>
        <w:rPr>
          <w:rFonts w:hint="eastAsia"/>
        </w:rPr>
        <w:t>因甲方资料延迟、业务流程未确认、系统环境未就绪、第三方服务限制或不可抗力导致延期的，交付周期相应顺延。</w:t>
      </w:r>
    </w:p>
    <w:p w14:paraId="6B9AC36F">
      <w:pPr>
        <w:numPr>
          <w:ilvl w:val="0"/>
          <w:numId w:val="6"/>
        </w:numPr>
        <w:bidi w:val="0"/>
        <w:spacing w:line="360" w:lineRule="auto"/>
        <w:ind w:left="0" w:leftChars="0" w:firstLine="560" w:firstLineChars="200"/>
        <w:rPr>
          <w:rFonts w:hint="eastAsia"/>
        </w:rPr>
      </w:pPr>
      <w:r>
        <w:rPr>
          <w:rFonts w:hint="eastAsia"/>
        </w:rPr>
        <w:t>满足以下条件，视为具备验收条件：</w:t>
      </w:r>
    </w:p>
    <w:p w14:paraId="20DC54B2">
      <w:pPr>
        <w:numPr>
          <w:ilvl w:val="0"/>
          <w:numId w:val="7"/>
        </w:numPr>
        <w:bidi w:val="0"/>
        <w:spacing w:line="360" w:lineRule="auto"/>
        <w:ind w:left="0" w:leftChars="0" w:firstLine="560" w:firstLineChars="0"/>
        <w:rPr>
          <w:rFonts w:hint="eastAsia"/>
        </w:rPr>
      </w:pPr>
      <w:r>
        <w:rPr>
          <w:rFonts w:hint="eastAsia"/>
        </w:rPr>
        <w:t xml:space="preserve">已选购法律 </w:t>
      </w:r>
      <w:r>
        <w:rPr>
          <w:rFonts w:hint="default" w:ascii="Times New Roman" w:hAnsi="Times New Roman" w:cs="Times New Roman"/>
        </w:rPr>
        <w:t>Agent</w:t>
      </w:r>
      <w:r>
        <w:rPr>
          <w:rFonts w:hint="eastAsia"/>
        </w:rPr>
        <w:t xml:space="preserve"> 应用完成基础部署或配置；</w:t>
      </w:r>
    </w:p>
    <w:p w14:paraId="5F3A9557">
      <w:pPr>
        <w:numPr>
          <w:ilvl w:val="0"/>
          <w:numId w:val="7"/>
        </w:numPr>
        <w:bidi w:val="0"/>
        <w:spacing w:line="360" w:lineRule="auto"/>
        <w:ind w:left="0" w:leftChars="0" w:firstLine="560" w:firstLineChars="0"/>
        <w:rPr>
          <w:rFonts w:hint="eastAsia"/>
        </w:rPr>
      </w:pPr>
      <w:r>
        <w:rPr>
          <w:rFonts w:hint="eastAsia"/>
        </w:rPr>
        <w:t xml:space="preserve">已选购 </w:t>
      </w:r>
      <w:r>
        <w:rPr>
          <w:rFonts w:hint="default" w:ascii="Times New Roman" w:hAnsi="Times New Roman" w:cs="Times New Roman"/>
        </w:rPr>
        <w:t>RAG、context graph</w:t>
      </w:r>
      <w:r>
        <w:rPr>
          <w:rFonts w:hint="eastAsia"/>
        </w:rPr>
        <w:t xml:space="preserve"> 或知识基础设施完成基础设置；</w:t>
      </w:r>
    </w:p>
    <w:p w14:paraId="28E045F4">
      <w:pPr>
        <w:numPr>
          <w:ilvl w:val="0"/>
          <w:numId w:val="7"/>
        </w:numPr>
        <w:bidi w:val="0"/>
        <w:spacing w:line="360" w:lineRule="auto"/>
        <w:ind w:left="0" w:leftChars="0" w:firstLine="560" w:firstLineChars="0"/>
        <w:rPr>
          <w:rFonts w:hint="eastAsia"/>
        </w:rPr>
      </w:pPr>
      <w:r>
        <w:rPr>
          <w:rFonts w:hint="eastAsia"/>
        </w:rPr>
        <w:t>完成约定范围内的基础工作流演示；</w:t>
      </w:r>
    </w:p>
    <w:p w14:paraId="1AA57AEC">
      <w:pPr>
        <w:numPr>
          <w:ilvl w:val="0"/>
          <w:numId w:val="7"/>
        </w:numPr>
        <w:bidi w:val="0"/>
        <w:spacing w:line="360" w:lineRule="auto"/>
        <w:ind w:left="0" w:leftChars="0" w:firstLine="560" w:firstLineChars="0"/>
        <w:rPr>
          <w:rFonts w:hint="eastAsia"/>
        </w:rPr>
      </w:pPr>
      <w:r>
        <w:rPr>
          <w:rFonts w:hint="eastAsia"/>
        </w:rPr>
        <w:t>乙方完成基础使用说明或交接说明；</w:t>
      </w:r>
    </w:p>
    <w:p w14:paraId="2D9335FC">
      <w:pPr>
        <w:numPr>
          <w:ilvl w:val="0"/>
          <w:numId w:val="7"/>
        </w:numPr>
        <w:bidi w:val="0"/>
        <w:spacing w:line="360" w:lineRule="auto"/>
        <w:ind w:left="0" w:leftChars="0" w:firstLine="560" w:firstLineChars="0"/>
        <w:rPr>
          <w:rFonts w:hint="eastAsia"/>
        </w:rPr>
      </w:pPr>
      <w:r>
        <w:rPr>
          <w:rFonts w:hint="eastAsia"/>
        </w:rPr>
        <w:t>甲方可基于样本文档完成基础测试流程。</w:t>
      </w:r>
    </w:p>
    <w:p w14:paraId="0A85F02C">
      <w:pPr>
        <w:numPr>
          <w:ilvl w:val="0"/>
          <w:numId w:val="6"/>
        </w:numPr>
        <w:bidi w:val="0"/>
        <w:spacing w:line="360" w:lineRule="auto"/>
        <w:ind w:left="0" w:leftChars="0" w:firstLine="560" w:firstLineChars="200"/>
        <w:rPr>
          <w:rFonts w:hint="eastAsia"/>
        </w:rPr>
      </w:pPr>
      <w:r>
        <w:rPr>
          <w:rFonts w:hint="eastAsia"/>
        </w:rPr>
        <w:t>甲方应在收到乙方书面验收通知后 7 个工作日内完成验收；甲方逾期未提出书面异议的，视为验收通过。</w:t>
      </w:r>
    </w:p>
    <w:p w14:paraId="05283A7E">
      <w:pPr>
        <w:numPr>
          <w:ilvl w:val="0"/>
          <w:numId w:val="6"/>
        </w:numPr>
        <w:bidi w:val="0"/>
        <w:spacing w:line="360" w:lineRule="auto"/>
        <w:ind w:left="0" w:leftChars="0" w:firstLine="560" w:firstLineChars="200"/>
        <w:rPr>
          <w:rFonts w:hint="eastAsia"/>
        </w:rPr>
      </w:pPr>
      <w:r>
        <w:rPr>
          <w:rFonts w:hint="eastAsia"/>
        </w:rPr>
        <w:t>超出本合同范围的新增需求，双方另行确认费用和周期。</w:t>
      </w:r>
    </w:p>
    <w:p w14:paraId="2D4D2B6B">
      <w:pPr>
        <w:pStyle w:val="2"/>
        <w:bidi w:val="0"/>
        <w:rPr>
          <w:rFonts w:hint="eastAsia"/>
        </w:rPr>
      </w:pPr>
      <w:r>
        <w:rPr>
          <w:rFonts w:hint="eastAsia"/>
          <w:lang w:val="en-US" w:eastAsia="zh-CN"/>
        </w:rPr>
        <w:t xml:space="preserve">第八条  </w:t>
      </w:r>
      <w:r>
        <w:rPr>
          <w:rFonts w:hint="eastAsia"/>
        </w:rPr>
        <w:t>付款方式</w:t>
      </w:r>
    </w:p>
    <w:p w14:paraId="448E7E7A">
      <w:pPr>
        <w:bidi w:val="0"/>
        <w:spacing w:line="360" w:lineRule="auto"/>
        <w:ind w:left="0" w:leftChars="0" w:firstLine="560" w:firstLineChars="200"/>
        <w:rPr>
          <w:rFonts w:hint="eastAsia"/>
        </w:rPr>
      </w:pPr>
      <w:r>
        <w:rPr>
          <w:rFonts w:hint="eastAsia"/>
        </w:rPr>
        <w:t>付款方式以统一选购表或双方书面确认的付款安排为准。若统一选购表未另行约定，则按以下方式执行：</w:t>
      </w:r>
    </w:p>
    <w:p w14:paraId="621282D6">
      <w:pPr>
        <w:numPr>
          <w:ilvl w:val="0"/>
          <w:numId w:val="8"/>
        </w:numPr>
        <w:bidi w:val="0"/>
        <w:spacing w:line="360" w:lineRule="auto"/>
        <w:ind w:left="0" w:leftChars="0" w:firstLine="560" w:firstLineChars="200"/>
        <w:rPr>
          <w:rFonts w:hint="eastAsia"/>
        </w:rPr>
      </w:pPr>
      <w:r>
        <w:rPr>
          <w:rFonts w:hint="eastAsia"/>
        </w:rPr>
        <w:t>合同签署且甲方书面确认 SKU 选购项并提供必要资料后 5 个工作日内，甲方向乙方支付合同金额的 60%（首款）。</w:t>
      </w:r>
      <w:r>
        <w:rPr>
          <w:rFonts w:hint="eastAsia"/>
          <w:u w:val="single"/>
          <w:lang w:val="en-US" w:eastAsia="zh-CN"/>
        </w:rPr>
      </w:r>
      <w:r>
        <w:rPr>
          <w:rFonts w:hint="eastAsia"/>
        </w:rPr>
      </w:r>
      <w:r>
        <w:rPr>
          <w:rFonts w:hint="eastAsia"/>
          <w:u w:val="single"/>
          <w:lang w:val="en-US" w:eastAsia="zh-CN"/>
        </w:rPr>
      </w:r>
      <w:r>
        <w:rPr>
          <w:rFonts w:hint="eastAsia"/>
        </w:rPr>
      </w:r>
    </w:p>
    <w:p w14:paraId="73BD9557">
      <w:pPr>
        <w:numPr>
          <w:ilvl w:val="0"/>
          <w:numId w:val="8"/>
        </w:numPr>
        <w:bidi w:val="0"/>
        <w:spacing w:line="360" w:lineRule="auto"/>
        <w:ind w:left="0" w:leftChars="0" w:firstLine="560" w:firstLineChars="200"/>
        <w:rPr>
          <w:rFonts w:hint="eastAsia"/>
        </w:rPr>
      </w:pPr>
      <w:r>
        <w:rPr>
          <w:rFonts w:hint="eastAsia"/>
        </w:rPr>
        <w:t>乙方完成 Agent 应用基础适配部署后 5 个工作日内，甲方向乙方支付合同金额的 30%（里程碑一）。</w:t>
      </w:r>
      <w:r>
        <w:rPr>
          <w:rFonts w:hint="default" w:ascii="Times New Roman" w:hAnsi="Times New Roman" w:cs="Times New Roman"/>
        </w:rPr>
      </w:r>
      <w:r>
        <w:rPr>
          <w:rFonts w:hint="eastAsia"/>
        </w:rPr>
      </w:r>
      <w:r>
        <w:rPr>
          <w:rFonts w:hint="eastAsia"/>
          <w:u w:val="single"/>
          <w:lang w:val="en-US" w:eastAsia="zh-CN"/>
        </w:rPr>
      </w:r>
      <w:r>
        <w:rPr>
          <w:rFonts w:hint="eastAsia"/>
        </w:rPr>
      </w:r>
    </w:p>
    <w:p w14:paraId="3F0E58D4">
      <w:pPr>
        <w:numPr>
          <w:ilvl w:val="0"/>
          <w:numId w:val="8"/>
        </w:numPr>
        <w:bidi w:val="0"/>
        <w:spacing w:line="360" w:lineRule="auto"/>
        <w:ind w:left="0" w:leftChars="0" w:firstLine="560" w:firstLineChars="200"/>
        <w:rPr>
          <w:rFonts w:hint="eastAsia"/>
        </w:rPr>
      </w:pPr>
      <w:r>
        <w:rPr>
          <w:rFonts w:hint="eastAsia"/>
        </w:rPr>
        <w:t>项目验收完成后 5 个工作日内，甲方向乙方支付合同金额的 10%（终验款）。</w:t>
      </w:r>
    </w:p>
    <w:p w14:paraId="3DE84839">
      <w:pPr>
        <w:bidi w:val="0"/>
        <w:spacing w:line="360" w:lineRule="auto"/>
        <w:ind w:left="0" w:leftChars="0" w:firstLine="560" w:firstLineChars="200"/>
        <w:rPr>
          <w:rFonts w:hint="eastAsia"/>
        </w:rPr>
      </w:pPr>
      <w:r>
        <w:rPr>
          <w:rFonts w:hint="eastAsia"/>
        </w:rPr>
        <w:t>甲方未按约定付款的，乙方有权暂停开发、部署、配置、顾问支持或后续服务，由此导致的延期不视为乙方违约。</w:t>
      </w:r>
    </w:p>
    <w:p w14:paraId="154FC0FB">
      <w:pPr>
        <w:bidi w:val="0"/>
        <w:spacing w:line="360" w:lineRule="auto"/>
        <w:rPr>
          <w:rFonts w:hint="eastAsia"/>
        </w:rPr>
      </w:pPr>
      <w:r>
        <w:rPr>
          <w:rFonts w:hint="eastAsia"/>
        </w:rPr>
        <w:t>乙方收款信息：</w:t>
      </w:r>
    </w:p>
    <w:p w14:paraId="5F2F000E">
      <w:pPr>
        <w:bidi w:val="0"/>
        <w:spacing w:line="360" w:lineRule="auto"/>
        <w:rPr>
          <w:rFonts w:hint="default" w:eastAsia="方正仿宋_GB2312"/>
          <w:u w:val="single"/>
          <w:lang w:val="en-US" w:eastAsia="zh-CN"/>
        </w:rPr>
      </w:pPr>
      <w:r>
        <w:rPr>
          <w:rFonts w:hint="eastAsia"/>
        </w:rPr>
        <w:t>开户名称：</w:t>
      </w:r>
      <w:r>
        <w:rPr>
          <w:rFonts w:hint="eastAsia"/>
          <w:u w:val="single"/>
          <w:lang w:val="en-US" w:eastAsia="zh-CN"/>
        </w:rPr>
      </w:r>
    </w:p>
    <w:p w14:paraId="2FDFF1DF">
      <w:pPr>
        <w:bidi w:val="0"/>
        <w:spacing w:line="360" w:lineRule="auto"/>
        <w:rPr>
          <w:rFonts w:hint="eastAsia"/>
        </w:rPr>
      </w:pPr>
      <w:r>
        <w:rPr>
          <w:rFonts w:hint="eastAsia"/>
        </w:rPr>
        <w:t>开户银行：</w:t>
      </w:r>
      <w:r>
        <w:rPr>
          <w:rFonts w:hint="eastAsia"/>
          <w:u w:val="single"/>
          <w:lang w:val="en-US" w:eastAsia="zh-CN"/>
        </w:rPr>
      </w:r>
    </w:p>
    <w:p w14:paraId="3B8B17AD">
      <w:pPr>
        <w:bidi w:val="0"/>
        <w:spacing w:line="360" w:lineRule="auto"/>
        <w:rPr>
          <w:rFonts w:hint="eastAsia"/>
        </w:rPr>
      </w:pPr>
      <w:r>
        <w:rPr>
          <w:rFonts w:hint="eastAsia"/>
        </w:rPr>
        <w:t>银行账号：</w:t>
      </w:r>
      <w:r>
        <w:rPr>
          <w:rFonts w:hint="eastAsia"/>
          <w:u w:val="single"/>
          <w:lang w:val="en-US" w:eastAsia="zh-CN"/>
        </w:rPr>
      </w:r>
    </w:p>
    <w:p w14:paraId="4F13333C">
      <w:pPr>
        <w:bidi w:val="0"/>
        <w:spacing w:line="360" w:lineRule="auto"/>
        <w:rPr>
          <w:rFonts w:hint="eastAsia"/>
        </w:rPr>
      </w:pPr>
      <w:r>
        <w:rPr>
          <w:rFonts w:hint="eastAsia"/>
        </w:rPr>
        <w:t>纳税人识别号：</w:t>
      </w:r>
      <w:r>
        <w:rPr>
          <w:rFonts w:hint="eastAsia"/>
          <w:u w:val="single"/>
          <w:lang w:val="en-US" w:eastAsia="zh-CN"/>
        </w:rPr>
      </w:r>
    </w:p>
    <w:p w14:paraId="4B6549D5">
      <w:pPr>
        <w:pStyle w:val="2"/>
        <w:bidi w:val="0"/>
        <w:rPr>
          <w:rFonts w:hint="eastAsia"/>
        </w:rPr>
      </w:pPr>
      <w:r>
        <w:rPr>
          <w:rFonts w:hint="eastAsia"/>
          <w:lang w:val="en-US" w:eastAsia="zh-CN"/>
        </w:rPr>
        <w:t xml:space="preserve">第九条  </w:t>
      </w:r>
      <w:r>
        <w:rPr>
          <w:rFonts w:hint="eastAsia"/>
        </w:rPr>
        <w:t>知识产权、数据与保密</w:t>
      </w:r>
    </w:p>
    <w:p w14:paraId="42AF83A0">
      <w:pPr>
        <w:numPr>
          <w:ilvl w:val="0"/>
          <w:numId w:val="9"/>
        </w:numPr>
        <w:bidi w:val="0"/>
        <w:spacing w:line="360" w:lineRule="auto"/>
        <w:ind w:left="5" w:leftChars="0" w:firstLine="555" w:firstLineChars="0"/>
        <w:rPr>
          <w:rFonts w:hint="eastAsia"/>
        </w:rPr>
      </w:pPr>
      <w:r>
        <w:rPr>
          <w:rFonts w:hint="eastAsia"/>
        </w:rPr>
        <w:t>甲方提供的业务资料、客户文件、历史案例、</w:t>
      </w:r>
      <w:r>
        <w:rPr>
          <w:rFonts w:hint="default" w:ascii="Times New Roman" w:hAnsi="Times New Roman" w:cs="Times New Roman"/>
        </w:rPr>
        <w:t xml:space="preserve">matter </w:t>
      </w:r>
      <w:r>
        <w:rPr>
          <w:rFonts w:hint="eastAsia"/>
        </w:rPr>
        <w:t>文件夹、内部制度、客户先例及其他数据资料，归甲方或相关权利人所有。</w:t>
      </w:r>
    </w:p>
    <w:p w14:paraId="0EBDE3F1">
      <w:pPr>
        <w:numPr>
          <w:ilvl w:val="0"/>
          <w:numId w:val="9"/>
        </w:numPr>
        <w:bidi w:val="0"/>
        <w:spacing w:line="360" w:lineRule="auto"/>
        <w:ind w:left="5" w:leftChars="0" w:firstLine="555" w:firstLineChars="0"/>
        <w:rPr>
          <w:rFonts w:hint="eastAsia"/>
        </w:rPr>
      </w:pPr>
      <w:r>
        <w:rPr>
          <w:rFonts w:hint="eastAsia"/>
        </w:rPr>
        <w:t>乙方既有系统架构、通用工具、通用模板、方法论、</w:t>
      </w:r>
      <w:r>
        <w:rPr>
          <w:rFonts w:hint="default" w:ascii="Times New Roman" w:hAnsi="Times New Roman" w:cs="Times New Roman"/>
        </w:rPr>
        <w:t>Agent</w:t>
      </w:r>
      <w:r>
        <w:rPr>
          <w:rFonts w:hint="eastAsia"/>
        </w:rPr>
        <w:t xml:space="preserve"> 适配框架及技术成果，归乙方所有。</w:t>
      </w:r>
    </w:p>
    <w:p w14:paraId="721D08F6">
      <w:pPr>
        <w:numPr>
          <w:ilvl w:val="0"/>
          <w:numId w:val="9"/>
        </w:numPr>
        <w:bidi w:val="0"/>
        <w:spacing w:line="360" w:lineRule="auto"/>
        <w:ind w:left="5" w:leftChars="0" w:firstLine="555" w:firstLineChars="0"/>
        <w:rPr>
          <w:rFonts w:hint="eastAsia"/>
        </w:rPr>
      </w:pPr>
      <w:r>
        <w:rPr>
          <w:rFonts w:hint="eastAsia"/>
        </w:rPr>
        <w:t>乙方为甲方定制形成的项目配置、基础流程适配内容、基础分类建议及交接资料，在甲方付清合同款项后，甲方可在内部业务范围内使用。</w:t>
      </w:r>
    </w:p>
    <w:p w14:paraId="156F0351">
      <w:pPr>
        <w:numPr>
          <w:ilvl w:val="0"/>
          <w:numId w:val="9"/>
        </w:numPr>
        <w:bidi w:val="0"/>
        <w:spacing w:line="360" w:lineRule="auto"/>
        <w:ind w:left="5" w:leftChars="0" w:firstLine="555" w:firstLineChars="0"/>
        <w:rPr>
          <w:rFonts w:hint="eastAsia"/>
        </w:rPr>
      </w:pPr>
      <w:r>
        <w:rPr>
          <w:rFonts w:hint="eastAsia"/>
        </w:rPr>
        <w:t>未经乙方书面同意，甲方不得将乙方交付内容复制销售、对外出租、分发或作为独立产品向第三方提供。</w:t>
      </w:r>
    </w:p>
    <w:p w14:paraId="345D366A">
      <w:pPr>
        <w:numPr>
          <w:ilvl w:val="0"/>
          <w:numId w:val="9"/>
        </w:numPr>
        <w:bidi w:val="0"/>
        <w:spacing w:line="360" w:lineRule="auto"/>
        <w:ind w:left="5" w:leftChars="0" w:firstLine="555" w:firstLineChars="0"/>
        <w:rPr>
          <w:rFonts w:hint="eastAsia"/>
        </w:rPr>
      </w:pPr>
      <w:r>
        <w:rPr>
          <w:rFonts w:hint="eastAsia"/>
        </w:rPr>
        <w:t>未经甲方书面同意，乙方不得将甲方非公开业务资料、客户资料或法律文件用于本项目以外用途。</w:t>
      </w:r>
    </w:p>
    <w:p w14:paraId="7E1BDB1D">
      <w:pPr>
        <w:numPr>
          <w:ilvl w:val="0"/>
          <w:numId w:val="9"/>
        </w:numPr>
        <w:bidi w:val="0"/>
        <w:spacing w:line="360" w:lineRule="auto"/>
        <w:ind w:left="5" w:leftChars="0" w:firstLine="555" w:firstLineChars="0"/>
        <w:rPr>
          <w:rFonts w:hint="eastAsia"/>
        </w:rPr>
      </w:pPr>
      <w:r>
        <w:rPr>
          <w:rFonts w:hint="eastAsia"/>
        </w:rPr>
        <w:t>双方应对合作过程中获知的非公开信息承担保密义务，保密义务不因合同终止而失效。</w:t>
      </w:r>
    </w:p>
    <w:p w14:paraId="17E614CA">
      <w:pPr>
        <w:pStyle w:val="2"/>
        <w:bidi w:val="0"/>
        <w:rPr>
          <w:rFonts w:hint="eastAsia"/>
        </w:rPr>
      </w:pPr>
      <w:r>
        <w:rPr>
          <w:rFonts w:hint="eastAsia"/>
          <w:lang w:val="en-US" w:eastAsia="zh-CN"/>
        </w:rPr>
        <w:t xml:space="preserve">第十条  </w:t>
      </w:r>
      <w:r>
        <w:rPr>
          <w:rFonts w:hint="eastAsia"/>
        </w:rPr>
        <w:t>违约、变更与争议解决</w:t>
      </w:r>
    </w:p>
    <w:p w14:paraId="4EED987A">
      <w:pPr>
        <w:numPr>
          <w:ilvl w:val="0"/>
          <w:numId w:val="10"/>
        </w:numPr>
        <w:bidi w:val="0"/>
        <w:spacing w:line="360" w:lineRule="auto"/>
        <w:ind w:left="0" w:leftChars="0" w:firstLine="560" w:firstLineChars="200"/>
        <w:rPr>
          <w:rFonts w:hint="eastAsia"/>
        </w:rPr>
      </w:pPr>
      <w:r>
        <w:rPr>
          <w:rFonts w:hint="eastAsia"/>
        </w:rPr>
        <w:t>甲方逾期付款的，应按逾期未付款金额每日 0.05% 向乙方支付违约金；逾期超过 15 日的，乙方有权暂停开发、部署、配置、顾问支持或后续服务，并有权要求甲方赔偿因此产生的实际损失。</w:t>
      </w:r>
      <w:r>
        <w:rPr>
          <w:rFonts w:hint="eastAsia"/>
          <w:u w:val="single"/>
          <w:lang w:val="en-US" w:eastAsia="zh-CN"/>
        </w:rPr>
      </w:r>
      <w:r>
        <w:rPr>
          <w:rFonts w:hint="eastAsia" w:ascii="方正仿宋_GB2312" w:hAnsi="方正仿宋_GB2312" w:eastAsia="方正仿宋_GB2312" w:cs="方正仿宋_GB2312"/>
        </w:rPr>
      </w:r>
      <w:r>
        <w:rPr>
          <w:rFonts w:hint="eastAsia"/>
        </w:rPr>
      </w:r>
      <w:r>
        <w:rPr>
          <w:rFonts w:hint="eastAsia"/>
          <w:u w:val="single"/>
          <w:lang w:val="en-US" w:eastAsia="zh-CN"/>
        </w:rPr>
      </w:r>
      <w:r>
        <w:rPr>
          <w:rFonts w:hint="eastAsia"/>
        </w:rPr>
      </w:r>
    </w:p>
    <w:p w14:paraId="6655ECCF">
      <w:pPr>
        <w:numPr>
          <w:ilvl w:val="0"/>
          <w:numId w:val="10"/>
        </w:numPr>
        <w:bidi w:val="0"/>
        <w:spacing w:line="360" w:lineRule="auto"/>
        <w:ind w:left="0" w:leftChars="0" w:firstLine="560" w:firstLineChars="200"/>
        <w:rPr>
          <w:rFonts w:hint="eastAsia"/>
        </w:rPr>
      </w:pPr>
      <w:r>
        <w:rPr>
          <w:rFonts w:hint="eastAsia"/>
        </w:rPr>
        <w:t>乙方无正当理由未按约完成服务的，应在合理期限内整改。</w:t>
      </w:r>
    </w:p>
    <w:p w14:paraId="28739065">
      <w:pPr>
        <w:numPr>
          <w:ilvl w:val="0"/>
          <w:numId w:val="10"/>
        </w:numPr>
        <w:bidi w:val="0"/>
        <w:spacing w:line="360" w:lineRule="auto"/>
        <w:ind w:left="0" w:leftChars="0" w:firstLine="560" w:firstLineChars="200"/>
        <w:rPr>
          <w:rFonts w:hint="eastAsia"/>
        </w:rPr>
      </w:pPr>
      <w:r>
        <w:rPr>
          <w:rFonts w:hint="eastAsia"/>
        </w:rPr>
        <w:t>因甲方资料延迟、系统环境不具备、第三方原因或不可抗力导致延期的，乙方不承担违约责任。</w:t>
      </w:r>
    </w:p>
    <w:p w14:paraId="5B1079E2">
      <w:pPr>
        <w:numPr>
          <w:ilvl w:val="0"/>
          <w:numId w:val="10"/>
        </w:numPr>
        <w:bidi w:val="0"/>
        <w:spacing w:line="360" w:lineRule="auto"/>
        <w:ind w:left="0" w:leftChars="0" w:firstLine="560" w:firstLineChars="200"/>
        <w:rPr>
          <w:rFonts w:hint="eastAsia"/>
        </w:rPr>
      </w:pPr>
      <w:r>
        <w:rPr>
          <w:rFonts w:hint="eastAsia"/>
        </w:rPr>
        <w:t>除因故意或重大过失造成的损失外，乙方在本合同项下承担的赔偿责任总额不超过甲方已实际支付的本合同金额。上述责任限额不适用于：(a) 乙方对甲方保密信息的泄露、毁损或未授权披露；(b) 乙方对甲方或第三方知识产权的侵权；(c) 乙方因违反本合同第十一至十八条相关约定而产生的赔偿责任；(d) 乙方违反第十八条不得用于 AI 训练之约定所产生的损失。</w:t>
      </w:r>
    </w:p>
    <w:p w14:paraId="5A5C26D5">
      <w:pPr>
        <w:numPr>
          <w:ilvl w:val="0"/>
          <w:numId w:val="10"/>
        </w:numPr>
        <w:bidi w:val="0"/>
        <w:spacing w:line="360" w:lineRule="auto"/>
        <w:ind w:left="0" w:leftChars="0" w:firstLine="560" w:firstLineChars="200"/>
        <w:rPr>
          <w:rFonts w:hint="eastAsia"/>
        </w:rPr>
      </w:pPr>
      <w:r>
        <w:rPr>
          <w:rFonts w:hint="eastAsia"/>
        </w:rPr>
        <w:t>本合同的任何变更、补充均应由双方书面确认。新增需求、需求变更或交付范围扩大产生的额外工作量，双方另行确认费用和周期。</w:t>
      </w:r>
    </w:p>
    <w:p w14:paraId="3F6AE30E">
      <w:pPr>
        <w:numPr>
          <w:ilvl w:val="0"/>
          <w:numId w:val="10"/>
        </w:numPr>
        <w:bidi w:val="0"/>
        <w:spacing w:line="360" w:lineRule="auto"/>
        <w:ind w:left="0" w:leftChars="0" w:firstLine="560" w:firstLineChars="200"/>
        <w:rPr>
          <w:rFonts w:hint="eastAsia"/>
        </w:rPr>
      </w:pPr>
      <w:r>
        <w:rPr>
          <w:rFonts w:hint="eastAsia"/>
        </w:rPr>
        <w:t>因本合同产生的争议，双方应协商解决；协商不成的，任一方可向乙方所在地有管辖权的人民法院提起诉讼。</w:t>
      </w:r>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0"/>
        <w:gridCol w:w="1640"/>
        <w:gridCol w:w="2430"/>
        <w:gridCol w:w="1704"/>
        <w:gridCol w:w="1705"/>
      </w:tblGrid>
      <w:tr w14:paraId="50B7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pct"/>
            <w:vAlign w:val="center"/>
          </w:tcPr>
          <w:p w14:paraId="7B297CC1">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序号</w:t>
            </w:r>
          </w:p>
        </w:tc>
        <w:tc>
          <w:tcPr>
            <w:tcW w:w="962" w:type="pct"/>
            <w:vAlign w:val="center"/>
          </w:tcPr>
          <w:p w14:paraId="3A1867F6">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类别</w:t>
            </w:r>
          </w:p>
        </w:tc>
        <w:tc>
          <w:tcPr>
            <w:tcW w:w="1426" w:type="pct"/>
            <w:vAlign w:val="center"/>
          </w:tcPr>
          <w:p w14:paraId="1EABEB8F">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交付内容</w:t>
            </w:r>
          </w:p>
        </w:tc>
        <w:tc>
          <w:tcPr>
            <w:tcW w:w="1000" w:type="pct"/>
            <w:vAlign w:val="center"/>
          </w:tcPr>
          <w:p w14:paraId="50E67B5D">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数量</w:t>
            </w:r>
          </w:p>
        </w:tc>
        <w:tc>
          <w:tcPr>
            <w:tcW w:w="1000" w:type="pct"/>
            <w:vAlign w:val="center"/>
          </w:tcPr>
          <w:p w14:paraId="3F365AB8">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说明</w:t>
            </w:r>
          </w:p>
        </w:tc>
      </w:tr>
      <w:tr w14:paraId="435C8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pct"/>
            <w:vAlign w:val="center"/>
          </w:tcPr>
          <w:p w14:paraId="2CC0C1DC">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1</w:t>
            </w:r>
          </w:p>
        </w:tc>
        <w:tc>
          <w:tcPr>
            <w:tcW w:w="962" w:type="pct"/>
            <w:vAlign w:val="center"/>
          </w:tcPr>
          <w:p w14:paraId="1B2FFF6F">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法律</w:t>
            </w:r>
          </w:p>
          <w:p w14:paraId="5ED5129B">
            <w:pPr>
              <w:bidi w:val="0"/>
              <w:jc w:val="center"/>
              <w:rPr>
                <w:rFonts w:hint="eastAsia" w:ascii="方正仿宋_GB2312" w:hAnsi="方正仿宋_GB2312" w:eastAsia="方正仿宋_GB2312" w:cs="方正仿宋_GB2312"/>
              </w:rPr>
            </w:pPr>
            <w:r>
              <w:rPr>
                <w:rFonts w:hint="default" w:ascii="Times New Roman" w:hAnsi="Times New Roman" w:eastAsia="方正仿宋_GB2312" w:cs="Times New Roman"/>
              </w:rPr>
              <w:t>Agent</w:t>
            </w:r>
          </w:p>
        </w:tc>
        <w:tc>
          <w:tcPr>
            <w:tcW w:w="1426" w:type="pct"/>
            <w:vAlign w:val="center"/>
          </w:tcPr>
          <w:p w14:paraId="02B37C28">
            <w:pPr>
              <w:bidi w:val="0"/>
              <w:rPr>
                <w:rFonts w:hint="eastAsia" w:ascii="方正仿宋_GB2312" w:hAnsi="方正仿宋_GB2312" w:eastAsia="方正仿宋_GB2312" w:cs="方正仿宋_GB2312"/>
              </w:rPr>
            </w:pPr>
            <w:r>
              <w:rPr>
                <w:rFonts w:hint="default" w:ascii="Times New Roman" w:hAnsi="Times New Roman" w:eastAsia="方正仿宋_GB2312" w:cs="Times New Roman"/>
              </w:rPr>
              <w:t>Claude for Legal</w:t>
            </w:r>
            <w:r>
              <w:rPr>
                <w:rFonts w:hint="eastAsia" w:ascii="方正仿宋_GB2312" w:hAnsi="方正仿宋_GB2312" w:eastAsia="方正仿宋_GB2312" w:cs="方正仿宋_GB2312"/>
              </w:rPr>
              <w:t xml:space="preserve"> 适配版本</w:t>
            </w:r>
          </w:p>
        </w:tc>
        <w:tc>
          <w:tcPr>
            <w:tcW w:w="1000" w:type="pct"/>
            <w:vAlign w:val="center"/>
          </w:tcPr>
          <w:p w14:paraId="375CE9F6">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以统一选购表为准</w:t>
            </w:r>
          </w:p>
        </w:tc>
        <w:tc>
          <w:tcPr>
            <w:tcW w:w="1000" w:type="pct"/>
            <w:vAlign w:val="center"/>
          </w:tcPr>
          <w:p w14:paraId="0EB15007">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参考律师审核型工作流</w:t>
            </w:r>
          </w:p>
        </w:tc>
      </w:tr>
      <w:tr w14:paraId="40952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pct"/>
            <w:vAlign w:val="center"/>
          </w:tcPr>
          <w:p w14:paraId="75745AF1">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2</w:t>
            </w:r>
          </w:p>
        </w:tc>
        <w:tc>
          <w:tcPr>
            <w:tcW w:w="962" w:type="pct"/>
            <w:vAlign w:val="center"/>
          </w:tcPr>
          <w:p w14:paraId="765EB308">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法律</w:t>
            </w:r>
          </w:p>
          <w:p w14:paraId="38DE380B">
            <w:pPr>
              <w:bidi w:val="0"/>
              <w:jc w:val="center"/>
              <w:rPr>
                <w:rFonts w:hint="eastAsia" w:ascii="方正仿宋_GB2312" w:hAnsi="方正仿宋_GB2312" w:eastAsia="方正仿宋_GB2312" w:cs="方正仿宋_GB2312"/>
              </w:rPr>
            </w:pPr>
            <w:r>
              <w:rPr>
                <w:rFonts w:hint="default" w:ascii="Times New Roman" w:hAnsi="Times New Roman" w:eastAsia="方正仿宋_GB2312" w:cs="Times New Roman"/>
              </w:rPr>
              <w:t>Agent</w:t>
            </w:r>
          </w:p>
        </w:tc>
        <w:tc>
          <w:tcPr>
            <w:tcW w:w="1426" w:type="pct"/>
            <w:vAlign w:val="center"/>
          </w:tcPr>
          <w:p w14:paraId="42B57065">
            <w:pPr>
              <w:bidi w:val="0"/>
              <w:rPr>
                <w:rFonts w:hint="default" w:ascii="Times New Roman" w:hAnsi="Times New Roman" w:eastAsia="方正仿宋_GB2312" w:cs="Times New Roman"/>
              </w:rPr>
            </w:pPr>
            <w:r>
              <w:rPr>
                <w:rFonts w:hint="default" w:ascii="Times New Roman" w:hAnsi="Times New Roman" w:eastAsia="方正仿宋_GB2312" w:cs="Times New Roman"/>
              </w:rPr>
              <w:t xml:space="preserve">Lavern </w:t>
            </w:r>
          </w:p>
          <w:p w14:paraId="3033CBA2">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适配版本</w:t>
            </w:r>
          </w:p>
        </w:tc>
        <w:tc>
          <w:tcPr>
            <w:tcW w:w="1000" w:type="pct"/>
            <w:vAlign w:val="center"/>
          </w:tcPr>
          <w:p w14:paraId="285476FC">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以统一选购表为准</w:t>
            </w:r>
          </w:p>
        </w:tc>
        <w:tc>
          <w:tcPr>
            <w:tcW w:w="1000" w:type="pct"/>
            <w:vAlign w:val="center"/>
          </w:tcPr>
          <w:p w14:paraId="7523FD2A">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 xml:space="preserve">参考本地多 </w:t>
            </w:r>
            <w:r>
              <w:rPr>
                <w:rFonts w:hint="default" w:ascii="Times New Roman" w:hAnsi="Times New Roman" w:eastAsia="方正仿宋_GB2312" w:cs="Times New Roman"/>
              </w:rPr>
              <w:t>Agent</w:t>
            </w:r>
            <w:r>
              <w:rPr>
                <w:rFonts w:hint="eastAsia" w:ascii="方正仿宋_GB2312" w:hAnsi="方正仿宋_GB2312" w:eastAsia="方正仿宋_GB2312" w:cs="方正仿宋_GB2312"/>
              </w:rPr>
              <w:t xml:space="preserve"> 编排与验证闭环</w:t>
            </w:r>
          </w:p>
        </w:tc>
      </w:tr>
      <w:tr w14:paraId="5FB6A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pct"/>
            <w:vAlign w:val="center"/>
          </w:tcPr>
          <w:p w14:paraId="42E57F96">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3</w:t>
            </w:r>
          </w:p>
        </w:tc>
        <w:tc>
          <w:tcPr>
            <w:tcW w:w="962" w:type="pct"/>
            <w:vAlign w:val="center"/>
          </w:tcPr>
          <w:p w14:paraId="2C13D8B8">
            <w:pPr>
              <w:bidi w:val="0"/>
              <w:jc w:val="center"/>
              <w:rPr>
                <w:rFonts w:hint="eastAsia" w:ascii="方正仿宋_GB2312" w:hAnsi="方正仿宋_GB2312" w:eastAsia="方正仿宋_GB2312" w:cs="方正仿宋_GB2312"/>
              </w:rPr>
            </w:pPr>
            <w:r>
              <w:rPr>
                <w:rFonts w:hint="default" w:ascii="Times New Roman" w:hAnsi="Times New Roman" w:eastAsia="方正仿宋_GB2312" w:cs="Times New Roman"/>
              </w:rPr>
              <w:t>Agent</w:t>
            </w:r>
          </w:p>
          <w:p w14:paraId="51C942CF">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定制</w:t>
            </w:r>
          </w:p>
        </w:tc>
        <w:tc>
          <w:tcPr>
            <w:tcW w:w="1426" w:type="pct"/>
            <w:vAlign w:val="center"/>
          </w:tcPr>
          <w:p w14:paraId="4616F6F9">
            <w:pPr>
              <w:bidi w:val="0"/>
              <w:rPr>
                <w:rFonts w:hint="eastAsia" w:ascii="方正仿宋_GB2312" w:hAnsi="方正仿宋_GB2312" w:eastAsia="方正仿宋_GB2312" w:cs="方正仿宋_GB2312"/>
              </w:rPr>
            </w:pPr>
            <w:r>
              <w:rPr>
                <w:rFonts w:hint="default" w:ascii="Times New Roman" w:hAnsi="Times New Roman" w:eastAsia="方正仿宋_GB2312" w:cs="Times New Roman"/>
              </w:rPr>
              <w:t>Legal</w:t>
            </w:r>
            <w:r>
              <w:rPr>
                <w:rFonts w:hint="eastAsia" w:ascii="方正仿宋_GB2312" w:hAnsi="方正仿宋_GB2312" w:eastAsia="方正仿宋_GB2312" w:cs="方正仿宋_GB2312"/>
              </w:rPr>
              <w:t xml:space="preserve"> </w:t>
            </w:r>
          </w:p>
          <w:p w14:paraId="39636CE3">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适配服务</w:t>
            </w:r>
          </w:p>
        </w:tc>
        <w:tc>
          <w:tcPr>
            <w:tcW w:w="1000" w:type="pct"/>
            <w:vAlign w:val="center"/>
          </w:tcPr>
          <w:p w14:paraId="692ACBFA">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以统一选购表为准</w:t>
            </w:r>
          </w:p>
        </w:tc>
        <w:tc>
          <w:tcPr>
            <w:tcW w:w="1000" w:type="pct"/>
            <w:vAlign w:val="center"/>
          </w:tcPr>
          <w:p w14:paraId="2CB37907">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法律任务、角色、流程及审查节点配置</w:t>
            </w:r>
          </w:p>
        </w:tc>
      </w:tr>
      <w:tr w14:paraId="23039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pct"/>
            <w:vAlign w:val="center"/>
          </w:tcPr>
          <w:p w14:paraId="142806C6">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4</w:t>
            </w:r>
          </w:p>
        </w:tc>
        <w:tc>
          <w:tcPr>
            <w:tcW w:w="962" w:type="pct"/>
            <w:vAlign w:val="center"/>
          </w:tcPr>
          <w:p w14:paraId="237900CB">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知识</w:t>
            </w:r>
          </w:p>
          <w:p w14:paraId="138B4B7D">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基础设施</w:t>
            </w:r>
          </w:p>
        </w:tc>
        <w:tc>
          <w:tcPr>
            <w:tcW w:w="1426" w:type="pct"/>
            <w:vAlign w:val="center"/>
          </w:tcPr>
          <w:p w14:paraId="238270B0">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 xml:space="preserve">起步版知识与 </w:t>
            </w:r>
            <w:r>
              <w:rPr>
                <w:rFonts w:hint="default" w:ascii="Times New Roman" w:hAnsi="Times New Roman" w:eastAsia="方正仿宋_GB2312" w:cs="Times New Roman"/>
              </w:rPr>
              <w:t>RAG</w:t>
            </w:r>
            <w:r>
              <w:rPr>
                <w:rFonts w:hint="eastAsia" w:ascii="方正仿宋_GB2312" w:hAnsi="方正仿宋_GB2312" w:eastAsia="方正仿宋_GB2312" w:cs="方正仿宋_GB2312"/>
              </w:rPr>
              <w:t xml:space="preserve"> 启用</w:t>
            </w:r>
          </w:p>
        </w:tc>
        <w:tc>
          <w:tcPr>
            <w:tcW w:w="1000" w:type="pct"/>
            <w:vAlign w:val="center"/>
          </w:tcPr>
          <w:p w14:paraId="3BA67A7E">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以统一选购表为准</w:t>
            </w:r>
          </w:p>
        </w:tc>
        <w:tc>
          <w:tcPr>
            <w:tcW w:w="1000" w:type="pct"/>
            <w:vAlign w:val="center"/>
          </w:tcPr>
          <w:p w14:paraId="0970A8C0">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不含完整知识库工程</w:t>
            </w:r>
          </w:p>
        </w:tc>
      </w:tr>
      <w:tr w14:paraId="53FCC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pct"/>
            <w:vAlign w:val="center"/>
          </w:tcPr>
          <w:p w14:paraId="5633E506">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5</w:t>
            </w:r>
          </w:p>
        </w:tc>
        <w:tc>
          <w:tcPr>
            <w:tcW w:w="962" w:type="pct"/>
            <w:vAlign w:val="center"/>
          </w:tcPr>
          <w:p w14:paraId="096F8665">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知识</w:t>
            </w:r>
          </w:p>
          <w:p w14:paraId="69FD8F54">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基础设施</w:t>
            </w:r>
          </w:p>
        </w:tc>
        <w:tc>
          <w:tcPr>
            <w:tcW w:w="1426" w:type="pct"/>
            <w:vAlign w:val="center"/>
          </w:tcPr>
          <w:p w14:paraId="149BC1B9">
            <w:pPr>
              <w:bidi w:val="0"/>
              <w:rPr>
                <w:rFonts w:hint="eastAsia" w:ascii="方正仿宋_GB2312" w:hAnsi="方正仿宋_GB2312" w:eastAsia="方正仿宋_GB2312" w:cs="方正仿宋_GB2312"/>
              </w:rPr>
            </w:pPr>
            <w:r>
              <w:rPr>
                <w:rFonts w:hint="default" w:ascii="Times New Roman" w:hAnsi="Times New Roman" w:eastAsia="方正仿宋_GB2312" w:cs="Times New Roman"/>
              </w:rPr>
              <w:t>context graph</w:t>
            </w:r>
            <w:r>
              <w:rPr>
                <w:rFonts w:hint="eastAsia" w:ascii="方正仿宋_GB2312" w:hAnsi="方正仿宋_GB2312" w:eastAsia="方正仿宋_GB2312" w:cs="方正仿宋_GB2312"/>
              </w:rPr>
              <w:t xml:space="preserve"> </w:t>
            </w:r>
          </w:p>
          <w:p w14:paraId="1A925217">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基础约定</w:t>
            </w:r>
          </w:p>
        </w:tc>
        <w:tc>
          <w:tcPr>
            <w:tcW w:w="1000" w:type="pct"/>
            <w:vAlign w:val="center"/>
          </w:tcPr>
          <w:p w14:paraId="6BFABB7C">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以统一选购表为准</w:t>
            </w:r>
          </w:p>
        </w:tc>
        <w:tc>
          <w:tcPr>
            <w:tcW w:w="1000" w:type="pct"/>
            <w:vAlign w:val="center"/>
          </w:tcPr>
          <w:p w14:paraId="356041A0">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基础关系约定</w:t>
            </w:r>
          </w:p>
        </w:tc>
      </w:tr>
      <w:tr w14:paraId="62E6B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pct"/>
            <w:vAlign w:val="center"/>
          </w:tcPr>
          <w:p w14:paraId="2B530B62">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6</w:t>
            </w:r>
          </w:p>
        </w:tc>
        <w:tc>
          <w:tcPr>
            <w:tcW w:w="962" w:type="pct"/>
            <w:vAlign w:val="center"/>
          </w:tcPr>
          <w:p w14:paraId="6C132F0F">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交接服务</w:t>
            </w:r>
          </w:p>
        </w:tc>
        <w:tc>
          <w:tcPr>
            <w:tcW w:w="1426" w:type="pct"/>
            <w:vAlign w:val="center"/>
          </w:tcPr>
          <w:p w14:paraId="5B4552FE">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基础工作流演示与交接说明</w:t>
            </w:r>
          </w:p>
        </w:tc>
        <w:tc>
          <w:tcPr>
            <w:tcW w:w="1000" w:type="pct"/>
            <w:vAlign w:val="center"/>
          </w:tcPr>
          <w:p w14:paraId="51BEE3A1">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以统一选购表为准</w:t>
            </w:r>
          </w:p>
        </w:tc>
        <w:tc>
          <w:tcPr>
            <w:tcW w:w="1000" w:type="pct"/>
            <w:vAlign w:val="center"/>
          </w:tcPr>
          <w:p w14:paraId="7D7356AB">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一次性交接</w:t>
            </w:r>
          </w:p>
        </w:tc>
      </w:tr>
      <w:tr w14:paraId="39515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pct"/>
            <w:vAlign w:val="center"/>
          </w:tcPr>
          <w:p w14:paraId="6C59371B">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7</w:t>
            </w:r>
          </w:p>
        </w:tc>
        <w:tc>
          <w:tcPr>
            <w:tcW w:w="962" w:type="pct"/>
            <w:vAlign w:val="center"/>
          </w:tcPr>
          <w:p w14:paraId="6AD5BB66">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可选服务</w:t>
            </w:r>
          </w:p>
        </w:tc>
        <w:tc>
          <w:tcPr>
            <w:tcW w:w="1426" w:type="pct"/>
            <w:vAlign w:val="center"/>
          </w:tcPr>
          <w:p w14:paraId="475CC277">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顾问与陪跑支持</w:t>
            </w:r>
          </w:p>
        </w:tc>
        <w:tc>
          <w:tcPr>
            <w:tcW w:w="1000" w:type="pct"/>
            <w:vAlign w:val="center"/>
          </w:tcPr>
          <w:p w14:paraId="13971217">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以统一选购表为准</w:t>
            </w:r>
          </w:p>
        </w:tc>
        <w:tc>
          <w:tcPr>
            <w:tcW w:w="1000" w:type="pct"/>
            <w:vAlign w:val="center"/>
          </w:tcPr>
          <w:p w14:paraId="4711BD4F">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未勾选或未计费则不属于已购服务</w:t>
            </w:r>
          </w:p>
        </w:tc>
      </w:tr>
    </w:tbl>
    <w:p w14:paraId="00C380F7">
      <w:pPr>
        <w:spacing w:line="360" w:lineRule="auto"/>
        <w:jc w:val="center"/>
        <w:rPr>
          <w:rFonts w:hint="eastAsia" w:asciiTheme="minorEastAsia" w:hAnsiTheme="minorEastAsia" w:eastAsiaTheme="minorEastAsia" w:cstheme="minorEastAsia"/>
          <w:sz w:val="28"/>
          <w:szCs w:val="28"/>
        </w:rPr>
      </w:pPr>
      <w:r/>
    </w:p>
    <w:p w14:paraId="1993AC78">
      <w:pPr>
        <w:spacing w:line="360" w:lineRule="auto"/>
        <w:jc w:val="center"/>
        <w:rPr>
          <w:rFonts w:hint="eastAsia" w:asciiTheme="minorEastAsia" w:hAnsiTheme="minorEastAsia" w:eastAsiaTheme="minorEastAsia" w:cstheme="minorEastAsia"/>
          <w:sz w:val="28"/>
          <w:szCs w:val="28"/>
        </w:rPr>
      </w:pPr>
      <w:r/>
    </w:p>
    <w:p>
      <w:pPr/>
      <w:r>
        <w:t>第十一条  合同的变更、解除与终止</w:t>
      </w:r>
    </w:p>
    <w:p>
      <w:pPr/>
      <w:r>
        <w:t>（一）经双方协商一致，可书面变更或解除本合同。</w:t>
      </w:r>
    </w:p>
    <w:p>
      <w:pPr/>
      <w:r>
        <w:t>（二）甲方付款后单方解除的，乙方已发生的人工、定制、第三方服务采购及部署成本由甲方承担，且不低于本合同总额的 30%；乙方在收到前述款项及成本补偿后 7 个工作日内完成交接与退款。</w:t>
      </w:r>
    </w:p>
    <w:p>
      <w:pPr/>
      <w:r>
        <w:t>（三）乙方无正当理由未能在交付周期内完成交付且经 15 日书面催告仍未改正的，甲方有权解除本合同；乙方应返还甲方已支付但未履行部分对应的款项，并赔偿甲方因此产生的直接损失。</w:t>
      </w:r>
    </w:p>
    <w:p>
      <w:pPr/>
      <w:r>
        <w:t>（四）任一方因不可抗力导致本合同无法履行且持续超过 30 日的，另一方有权书面解除本合同；已交付部分按本合同价格结算，乙方已发生的合理人工与定制成本由双方按实际发生额分摊。</w:t>
      </w:r>
    </w:p>
    <w:p>
      <w:pPr/>
      <w:r>
        <w:t>（五）本合同正常履行完毕或经双方书面确认终止后，下列义务继续有效：保密义务、知识产权归属、数据返还与删除、争议解决。</w:t>
      </w:r>
    </w:p>
    <w:p>
      <w:pPr/>
      <w:r/>
    </w:p>
    <w:p>
      <w:pPr/>
      <w:r/>
    </w:p>
    <w:p>
      <w:pPr/>
      <w:r/>
    </w:p>
    <w:p>
      <w:pPr/>
      <w:r/>
    </w:p>
    <w:p>
      <w:pPr/>
      <w:r/>
    </w:p>
    <w:p>
      <w:pPr/>
      <w:r>
        <w:t>第十二条  数据返还与删除</w:t>
      </w:r>
    </w:p>
    <w:p>
      <w:pPr/>
      <w:r>
        <w:t>（一）乙方因本合同而收集、存储或处理的甲方业务资料、客户文件、playbook、模板、prompt、workflow、matter 文件夹、context graph、知识库索引、检索日志及全部衍生文件（以下简称'甲方数据'），均归甲方或甲方指定的权利人所有。</w:t>
      </w:r>
    </w:p>
    <w:p>
      <w:pPr/>
      <w:r>
        <w:t>本合同终止或解除后 30 日内，乙方应以原始格式或通用、可机读的电子格式返还甲方数据；返还方式包括但不限于本地导出、加密包交付或甲方书面认可的其他方式</w:t>
      </w:r>
    </w:p>
    <w:p>
      <w:pPr/>
      <w:r>
        <w:t>（三）甲方确认收讫并书面通知乙方后，乙方应在 7 日内删除其控制范围内（含备份与镜像）全部甲方数据；删除完成后，乙方应向甲方提供书面删除证明，并由甲方持证律师或指定人员书面确认。</w:t>
      </w:r>
    </w:p>
    <w:p>
      <w:pPr/>
      <w:r>
        <w:t>（四）乙方不得将甲方数据用于训练任何通用或第三方 AI 模型，亦不得用于本项目以外任何用途；前述义务不因合同终止而失效。</w:t>
      </w:r>
    </w:p>
    <w:p>
      <w:pPr/>
      <w:r>
        <w:t>（五）若乙方违反本条约定，应按未返还或未删除数据所涉客户事项的最高保密级别对应的合理赔偿额向甲方承担赔偿责任。</w:t>
      </w:r>
    </w:p>
    <w:p>
      <w:pPr/>
      <w:r/>
    </w:p>
    <w:p>
      <w:pPr/>
      <w:r/>
    </w:p>
    <w:p>
      <w:pPr/>
      <w:r/>
    </w:p>
    <w:p>
      <w:pPr/>
      <w:r/>
    </w:p>
    <w:p>
      <w:pPr/>
      <w:r/>
    </w:p>
    <w:p>
      <w:pPr/>
      <w:r>
        <w:t>第十三条  反向工程与竞争性使用限制</w:t>
      </w:r>
    </w:p>
    <w:p>
      <w:pPr/>
      <w:r>
        <w:t>（一）甲方不得对乙方系统、Agent 适配框架、知识基础设施模板及方法论进行反向工程、反编译、反汇编；法律法规明示允许的兼容性目的除外，且该等行为不得超出实现兼容性所必需的范围。</w:t>
      </w:r>
    </w:p>
    <w:p>
      <w:pPr/>
      <w:r>
        <w:t>（二）甲方不得基于乙方既有框架、模板或方法论开发与乙方标准化产品形成直接替代关系的对外商业化服务，亦不得在剔除乙方版权、商标或标识后对外分发。</w:t>
      </w:r>
    </w:p>
    <w:p>
      <w:pPr/>
      <w:r>
        <w:t>（三）本条不限制甲方对自身提供的数据、文件、playbook、模板、workflow 及其他业务资料的使用与处分。</w:t>
      </w:r>
    </w:p>
    <w:p>
      <w:pPr/>
      <w:r/>
    </w:p>
    <w:p>
      <w:pPr/>
      <w:r/>
    </w:p>
    <w:p>
      <w:pPr/>
      <w:r/>
    </w:p>
    <w:p>
      <w:pPr/>
      <w:r>
        <w:t>第十四条  不可抗力</w:t>
      </w:r>
    </w:p>
    <w:p>
      <w:pPr/>
      <w:r>
        <w:t>（一）不可抗力是指不能预见、不能避免且不能克服的客观情况，包括但不限于自然灾害、战争、流行病、政府行为、电信骨干网络中断、行业级供应链断裂、上游开源或第三方服务终止。</w:t>
      </w:r>
    </w:p>
    <w:p>
      <w:pPr/>
      <w:r>
        <w:t>（二）发生不可抗力的一方应在事件发生之日起 5 个工作日内书面通知另一方，并提供有关证明文件。</w:t>
      </w:r>
    </w:p>
    <w:p>
      <w:pPr/>
      <w:r>
        <w:t>（三）因不可抗力导致本合同部分或全部无法履行的，受影响一方在不可抗力持续期间免于承担违约责任；合同继续可行的部分应继续履行。</w:t>
      </w:r>
    </w:p>
    <w:p>
      <w:pPr/>
      <w:r>
        <w:t>（四）不可抗力持续超过 30 日的，任一方有权书面解除本合同；已交付部分按本合同价格结算。</w:t>
      </w:r>
    </w:p>
    <w:p>
      <w:pPr/>
      <w:r/>
    </w:p>
    <w:p>
      <w:pPr/>
      <w:r/>
    </w:p>
    <w:p>
      <w:pPr/>
      <w:r/>
    </w:p>
    <w:p>
      <w:pPr/>
      <w:r/>
    </w:p>
    <w:p>
      <w:pPr/>
      <w:r>
        <w:t>第十五条  适用法律与争议解决</w:t>
      </w:r>
    </w:p>
    <w:p>
      <w:pPr/>
      <w:r>
        <w:t>（一）本合同的订立、效力、解释、履行及争议解决均适用中华人民共和国法律（为本合同之目的不包括香港特别行政区、澳门特别行政区和台湾地区）。</w:t>
      </w:r>
    </w:p>
    <w:p>
      <w:pPr/>
      <w:r>
        <w:t>（二）因本合同产生的争议，双方应首先通过友好协商解决；协商不成的，任一方可向合同签署地有管辖权的人民法院提起诉讼。</w:t>
      </w:r>
    </w:p>
    <w:p>
      <w:pPr/>
      <w:r>
        <w:t>（三）诉讼期间，双方应继续履行本合同中未涉及争议的条款。</w:t>
      </w:r>
    </w:p>
    <w:p>
      <w:pPr/>
      <w:r/>
    </w:p>
    <w:p>
      <w:pPr/>
      <w:r/>
    </w:p>
    <w:p>
      <w:pPr/>
      <w:r/>
    </w:p>
    <w:p>
      <w:pPr/>
      <w:r>
        <w:t>第十六条  电子签章、通知与附件优先级</w:t>
      </w:r>
    </w:p>
    <w:p>
      <w:pPr/>
      <w:r>
        <w:t>（一）本合同经双方法定代表人或授权代表签字并加盖公章后生效；经双方书面同意采用电子签章的，电子签章与纸质签章具有同等法律效力。</w:t>
      </w:r>
    </w:p>
    <w:p>
      <w:pPr/>
      <w:r>
        <w:t>（二）本合同项下任何通知、要求或确认均应以书面形式作出，并通过双方书面确认的电子邮箱或专人送达方式送达；送达地址以本合同签署页所列为准。</w:t>
      </w:r>
    </w:p>
    <w:p>
      <w:pPr/>
      <w:r>
        <w:t>（三）本合同的各附件与正文具有同等法律效力。解释顺序如下：(1) 本合同正文；(2) 附件一服务交付清单；(3) 附件二统一选购表。</w:t>
      </w:r>
    </w:p>
    <w:p>
      <w:pPr/>
      <w:r/>
    </w:p>
    <w:p>
      <w:pPr/>
      <w:r/>
    </w:p>
    <w:p>
      <w:pPr/>
      <w:r/>
    </w:p>
    <w:p>
      <w:pPr/>
      <w:r>
        <w:t>第十七条  知识产权与定制成果归属（补充）</w:t>
      </w:r>
    </w:p>
    <w:p>
      <w:pPr/>
      <w:r>
        <w:t>（一）乙方为甲方定制的项目配置、基础流程适配内容、基础分类建议、prompt 草稿、workflow 模板、交接资料等定制成果的著作权归甲方所有；甲方可在其内部业务范围内自由使用、修改与组合。</w:t>
      </w:r>
    </w:p>
    <w:p>
      <w:pPr/>
      <w:r>
        <w:t>（二）乙方既有框架、通用工具、通用模板、方法论、Agent 适配框架及技术成果的所有权仍归乙方，甲方前述使用权不构成对该等乙方既有知识产权的转让或分许可。</w:t>
      </w:r>
    </w:p>
    <w:p>
      <w:pPr/>
      <w:r>
        <w:t>（三）甲方在定制成果基础上独立开发、扩展或重新组合形成的新成果，其知识产权由双方在补充协议中约定；未约定的，归开发方所有。</w:t>
      </w:r>
    </w:p>
    <w:p>
      <w:pPr/>
      <w:r/>
    </w:p>
    <w:p>
      <w:pPr/>
      <w:r/>
    </w:p>
    <w:p>
      <w:pPr/>
      <w:r/>
    </w:p>
    <w:p>
      <w:pPr/>
      <w:r>
        <w:t>第十八条  AI 输出与训练数据使用</w:t>
      </w:r>
    </w:p>
    <w:p>
      <w:pPr/>
      <w:r>
        <w:t>（一）本合同项下 AI 输出内容不构成最终法律意见、执业判断或对外可用的法律文件；甲方应安排具备相应资质或授权的专业人员对 AI 输出内容进行审核、确认和最终使用。</w:t>
      </w:r>
    </w:p>
    <w:p>
      <w:pPr/>
      <w:r>
        <w:t>（二）未经甲方书面同意，乙方不得将甲方非公开业务资料、客户资料、playbook、prompt、workflow、matter 文件或本项目下任何 AI 输入、输出用于训练任何通用或第三方 AI 模型。</w:t>
      </w:r>
    </w:p>
    <w:p>
      <w:pPr/>
      <w:r>
        <w:t>（三）乙方可在内部脱敏与聚合的前提下，将本项目下服务交付的方法、流程与一般性技术经验用于改进其通用方法论；该等使用不得回溯识别甲方或甲方客户。</w:t>
      </w:r>
    </w:p>
    <w:p>
      <w:pPr/>
      <w:r/>
    </w:p>
    <w:p>
      <w:pPr/>
      <w:r/>
    </w:p>
    <w:p>
      <w:pPr/>
      <w:r/>
    </w:p>
    <w:p w14:paraId="356343F6">
      <w:pPr>
        <w:pStyle w:val="2"/>
        <w:bidi w:val="0"/>
        <w:rPr>
          <w:rFonts w:hint="eastAsia"/>
        </w:rPr>
      </w:pPr>
      <w:r>
        <w:rPr>
          <w:rFonts w:hint="eastAsia"/>
          <w:lang w:val="en-US" w:eastAsia="zh-CN"/>
        </w:rPr>
        <w:t>第十九条  附件与生效</w:t>
      </w:r>
      <w:r>
        <w:rPr>
          <w:rFonts w:hint="eastAsia"/>
        </w:rPr>
      </w:r>
    </w:p>
    <w:p w14:paraId="61F44EBA">
      <w:pPr>
        <w:numPr>
          <w:ilvl w:val="0"/>
          <w:numId w:val="11"/>
        </w:numPr>
        <w:bidi w:val="0"/>
        <w:spacing w:line="360" w:lineRule="auto"/>
        <w:ind w:left="0" w:leftChars="0" w:firstLine="560" w:firstLineChars="200"/>
        <w:rPr>
          <w:rFonts w:hint="eastAsia"/>
        </w:rPr>
      </w:pPr>
      <w:r>
        <w:rPr>
          <w:rFonts w:hint="eastAsia"/>
        </w:rPr>
        <w:t>本合同自双方签字或盖章之日起生效。</w:t>
      </w:r>
    </w:p>
    <w:p w14:paraId="2AB973A2">
      <w:pPr>
        <w:numPr>
          <w:ilvl w:val="0"/>
          <w:numId w:val="11"/>
        </w:numPr>
        <w:bidi w:val="0"/>
        <w:spacing w:line="360" w:lineRule="auto"/>
        <w:ind w:left="0" w:leftChars="0" w:firstLine="560" w:firstLineChars="200"/>
        <w:rPr>
          <w:rFonts w:hint="eastAsia"/>
        </w:rPr>
      </w:pPr>
      <w:r>
        <w:rPr>
          <w:rFonts w:hint="eastAsia"/>
        </w:rPr>
        <w:t>本合同一式 4 份，甲乙双方各执 2 份，具有同等法律效力。</w:t>
      </w:r>
    </w:p>
    <w:p w14:paraId="711AE624">
      <w:pPr>
        <w:numPr>
          <w:ilvl w:val="0"/>
          <w:numId w:val="11"/>
        </w:numPr>
        <w:bidi w:val="0"/>
        <w:spacing w:line="360" w:lineRule="auto"/>
        <w:ind w:left="0" w:leftChars="0" w:firstLine="560" w:firstLineChars="200"/>
        <w:rPr>
          <w:rFonts w:hint="eastAsia"/>
        </w:rPr>
      </w:pPr>
      <w:r>
        <w:rPr>
          <w:rFonts w:hint="eastAsia"/>
        </w:rPr>
        <w:t>本合同附件包括：</w:t>
      </w:r>
    </w:p>
    <w:p w14:paraId="1BEDA612">
      <w:pPr>
        <w:numPr>
          <w:ilvl w:val="0"/>
          <w:numId w:val="12"/>
        </w:numPr>
        <w:bidi w:val="0"/>
        <w:spacing w:line="360" w:lineRule="auto"/>
        <w:ind w:left="5" w:leftChars="0" w:firstLine="555"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附件一：《法律 Agent 应用及服务交付清单》；</w:t>
      </w:r>
    </w:p>
    <w:p w14:paraId="7D80ADA3">
      <w:pPr>
        <w:numPr>
          <w:ilvl w:val="0"/>
          <w:numId w:val="12"/>
        </w:numPr>
        <w:bidi w:val="0"/>
        <w:spacing w:line="360" w:lineRule="auto"/>
        <w:ind w:left="5" w:leftChars="0" w:firstLine="555" w:firstLineChars="0"/>
        <w:rPr>
          <w:rFonts w:hint="eastAsia"/>
        </w:rPr>
      </w:pPr>
      <w:r>
        <w:rPr>
          <w:rFonts w:hint="eastAsia" w:ascii="方正仿宋_GB2312" w:hAnsi="方正仿宋_GB2312" w:eastAsia="方正仿宋_GB2312" w:cs="方正仿宋_GB2312"/>
        </w:rPr>
        <w:t>附件二：《智方云产品及服务统一选购表》（编号 SKU-2026-P01-V1，本合同与《智方云本地 AI 硬件设备及标准系统交付合同》共同附件）。</w:t>
      </w:r>
    </w:p>
    <w:p w14:paraId="14725589">
      <w:pPr>
        <w:numPr>
          <w:ilvl w:val="0"/>
          <w:numId w:val="11"/>
        </w:numPr>
        <w:bidi w:val="0"/>
        <w:ind w:left="0" w:leftChars="0" w:firstLine="560"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本合同未尽事宜，由双方另行签署补充协议。</w:t>
      </w:r>
    </w:p>
    <w:p w14:paraId="1622318A">
      <w:pPr>
        <w:rPr>
          <w:rFonts w:hint="eastAsia" w:asciiTheme="minorEastAsia" w:hAnsiTheme="minorEastAsia" w:eastAsiaTheme="minorEastAsia" w:cstheme="minorEastAsia"/>
          <w:sz w:val="28"/>
          <w:szCs w:val="28"/>
        </w:rPr>
      </w:pPr>
      <w:r/>
    </w:p>
    <w:p w14:paraId="7B1AE7B8">
      <w:pPr>
        <w:bidi w:val="0"/>
        <w:rPr>
          <w:rFonts w:hint="eastAsia"/>
          <w:b/>
          <w:bCs/>
        </w:rPr>
      </w:pPr>
      <w:r>
        <w:rPr>
          <w:rFonts w:hint="eastAsia"/>
          <w:b/>
          <w:bCs/>
        </w:rPr>
        <w:t xml:space="preserve">附件一：法律 </w:t>
      </w:r>
      <w:r>
        <w:rPr>
          <w:rFonts w:hint="default" w:ascii="Times New Roman" w:hAnsi="Times New Roman" w:cs="Times New Roman"/>
          <w:b/>
          <w:bCs/>
        </w:rPr>
        <w:t xml:space="preserve">Agent </w:t>
      </w:r>
      <w:r>
        <w:rPr>
          <w:rFonts w:hint="eastAsia"/>
          <w:b/>
          <w:bCs/>
        </w:rPr>
        <w:t>应用及服务交付清单</w:t>
      </w:r>
    </w:p>
    <w:p w14:paraId="7ED0E5A3">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以下无正文，为签署页。</w:t>
      </w:r>
    </w:p>
    <w:p w14:paraId="03A93441">
      <w:pPr>
        <w:spacing w:after="120" w:afterAutospacing="0" w:line="300" w:lineRule="auto"/>
        <w:ind w:left="480" w:leftChars="0" w:firstLine="0" w:firstLineChars="0"/>
        <w:rPr>
          <w:rFonts w:hint="eastAsia" w:asciiTheme="minorEastAsia" w:hAnsiTheme="minorEastAsia" w:eastAsiaTheme="minorEastAsia" w:cstheme="minorEastAsia"/>
          <w:sz w:val="28"/>
          <w:szCs w:val="28"/>
        </w:rPr>
      </w:pPr>
      <w:r/>
    </w:p>
    <w:p w14:paraId="0D57DEE5">
      <w:pPr>
        <w:spacing w:after="120" w:afterAutospacing="0" w:line="300" w:lineRule="auto"/>
        <w:ind w:left="480" w:leftChars="0" w:firstLine="0" w:firstLineChars="0"/>
        <w:rPr>
          <w:rFonts w:hint="eastAsia" w:asciiTheme="minorEastAsia" w:hAnsiTheme="minorEastAsia" w:eastAsiaTheme="minorEastAsia" w:cstheme="minorEastAsia"/>
          <w:sz w:val="28"/>
          <w:szCs w:val="28"/>
        </w:rPr>
      </w:pPr>
      <w:r/>
    </w:p>
    <w:p w14:paraId="275A56D6">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甲方（盖章）：</w:t>
      </w:r>
    </w:p>
    <w:p w14:paraId="2EEC5732">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授权代表签字：</w:t>
      </w:r>
    </w:p>
    <w:p w14:paraId="218D1341">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日期：</w:t>
      </w:r>
    </w:p>
    <w:p w14:paraId="218D1341">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合同签订于：____ 省 ____ 市 ____ 区</w:t>
      </w:r>
    </w:p>
    <w:p w14:paraId="2279012C">
      <w:pPr>
        <w:bidi w:val="0"/>
        <w:rPr>
          <w:rFonts w:hint="eastAsia" w:ascii="方正仿宋_GB2312" w:hAnsi="方正仿宋_GB2312" w:eastAsia="方正仿宋_GB2312" w:cs="方正仿宋_GB2312"/>
        </w:rPr>
      </w:pPr>
      <w:r/>
    </w:p>
    <w:p w14:paraId="1949A7AC">
      <w:pPr>
        <w:bidi w:val="0"/>
        <w:rPr>
          <w:rFonts w:hint="eastAsia" w:ascii="方正仿宋_GB2312" w:hAnsi="方正仿宋_GB2312" w:eastAsia="方正仿宋_GB2312" w:cs="方正仿宋_GB2312"/>
        </w:rPr>
      </w:pPr>
      <w:r/>
    </w:p>
    <w:p w14:paraId="76AC732B">
      <w:pPr>
        <w:bidi w:val="0"/>
        <w:rPr>
          <w:rFonts w:hint="eastAsia" w:ascii="方正仿宋_GB2312" w:hAnsi="方正仿宋_GB2312" w:eastAsia="方正仿宋_GB2312" w:cs="方正仿宋_GB2312"/>
        </w:rPr>
      </w:pPr>
      <w:r/>
    </w:p>
    <w:p w14:paraId="11B8BB6F">
      <w:pPr>
        <w:bidi w:val="0"/>
        <w:rPr>
          <w:rFonts w:hint="eastAsia" w:ascii="方正仿宋_GB2312" w:hAnsi="方正仿宋_GB2312" w:eastAsia="方正仿宋_GB2312" w:cs="方正仿宋_GB2312"/>
        </w:rPr>
      </w:pPr>
      <w:r/>
    </w:p>
    <w:p w14:paraId="7C47F5F9">
      <w:pPr>
        <w:bidi w:val="0"/>
        <w:rPr>
          <w:rFonts w:hint="eastAsia" w:ascii="方正仿宋_GB2312" w:hAnsi="方正仿宋_GB2312" w:eastAsia="方正仿宋_GB2312" w:cs="方正仿宋_GB2312"/>
        </w:rPr>
      </w:pPr>
      <w:r/>
    </w:p>
    <w:p w14:paraId="062EA499">
      <w:pPr>
        <w:bidi w:val="0"/>
        <w:rPr>
          <w:rFonts w:hint="eastAsia" w:ascii="方正仿宋_GB2312" w:hAnsi="方正仿宋_GB2312" w:eastAsia="方正仿宋_GB2312" w:cs="方正仿宋_GB2312"/>
        </w:rPr>
      </w:pPr>
      <w:r/>
    </w:p>
    <w:p w14:paraId="58B5E187">
      <w:pPr>
        <w:bidi w:val="0"/>
        <w:rPr>
          <w:rFonts w:hint="eastAsia" w:ascii="方正仿宋_GB2312" w:hAnsi="方正仿宋_GB2312" w:eastAsia="方正仿宋_GB2312" w:cs="方正仿宋_GB2312"/>
        </w:rPr>
      </w:pPr>
      <w:r/>
    </w:p>
    <w:p w14:paraId="42130FFB">
      <w:pPr>
        <w:bidi w:val="0"/>
        <w:rPr>
          <w:rFonts w:hint="eastAsia" w:ascii="方正仿宋_GB2312" w:hAnsi="方正仿宋_GB2312" w:eastAsia="方正仿宋_GB2312" w:cs="方正仿宋_GB2312"/>
        </w:rPr>
      </w:pPr>
      <w:r/>
    </w:p>
    <w:p w14:paraId="45D73E0C">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乙方（盖章）：</w:t>
      </w:r>
    </w:p>
    <w:p w14:paraId="10C54B54">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授权代表签字：</w:t>
      </w:r>
    </w:p>
    <w:p w14:paraId="08E1D126">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日期：</w:t>
      </w:r>
    </w:p>
    <w:sectPr>
      <w:headerReference r:id="rId5" w:type="default"/>
      <w:footerReference r:id="rId6" w:type="default"/>
      <w:headerReference w:type="first" r:id="rId11"/>
      <w:headerReference w:type="even" r:id="rId12"/>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1" w:fontKey="{8D6B7ADD-CB85-4E6C-8EE7-B5258572CFCE}"/>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000247B" w:usb2="00000009" w:usb3="00000000" w:csb0="200001FF" w:csb1="00000000"/>
  </w:font>
  <w:font w:name="方正小标宋简体">
    <w:panose1 w:val="02010600010101010101"/>
    <w:charset w:val="86"/>
    <w:family w:val="auto"/>
    <w:pitch w:val="default"/>
    <w:sig w:usb0="00000001" w:usb1="080E0000" w:usb2="00000000" w:usb3="00000000" w:csb0="00040000" w:csb1="00000000"/>
    <w:embedRegular r:id="rId2" w:fontKey="{FD9BCA9C-ADFD-4C48-9D7D-3CE35B07CD94}"/>
  </w:font>
  <w:font w:name="仿宋">
    <w:panose1 w:val="02010609060101010101"/>
    <w:charset w:val="86"/>
    <w:family w:val="auto"/>
    <w:pitch w:val="default"/>
    <w:sig w:usb0="800002BF" w:usb1="38CF7CFA" w:usb2="00000016" w:usb3="00000000" w:csb0="00040001" w:csb1="00000000"/>
  </w:font>
  <w:font w:name="仿宋G">
    <w:altName w:val="仿宋"/>
    <w:panose1 w:val="00000000000000000000"/>
    <w:charset w:val="00"/>
    <w:family w:val="auto"/>
    <w:pitch w:val="default"/>
    <w:sig w:usb0="00000000" w:usb1="00000000" w:usb2="00000000" w:usb3="00000000" w:csb0="00000000" w:csb1="00000000"/>
  </w:font>
  <w:font w:name="仿宋_GB2312">
    <w:altName w:val="仿宋"/>
    <w:panose1 w:val="00000000000000000000"/>
    <w:charset w:val="00"/>
    <w:family w:val="auto"/>
    <w:pitch w:val="default"/>
    <w:sig w:usb0="00000000" w:usb1="00000000" w:usb2="00000000" w:usb3="00000000" w:csb0="00000000" w:csb1="00000000"/>
  </w:font>
  <w:font w:name="方正仿宋_GB2312">
    <w:panose1 w:val="02000000000000000000"/>
    <w:charset w:val="86"/>
    <w:family w:val="auto"/>
    <w:pitch w:val="default"/>
    <w:sig w:usb0="A00002BF" w:usb1="184F6CFA" w:usb2="00000012" w:usb3="00000000" w:csb0="00040001" w:csb1="00000000"/>
    <w:embedRegular r:id="rId3" w:fontKey="{DBE81A19-D254-4F06-A151-F6DAC43E793B}"/>
  </w:font>
  <w:font w:name="华文楷体">
    <w:panose1 w:val="02010600040101010101"/>
    <w:charset w:val="86"/>
    <w:family w:val="auto"/>
    <w:pitch w:val="default"/>
    <w:sig w:usb0="00000287" w:usb1="080F0000" w:usb2="00000000" w:usb3="00000000" w:csb0="0004009F" w:csb1="DFD70000"/>
  </w:font>
  <w:font w:name="方正方俊黑">
    <w:panose1 w:val="02010600010101010101"/>
    <w:charset w:val="86"/>
    <w:family w:val="auto"/>
    <w:pitch w:val="default"/>
    <w:sig w:usb0="00000001" w:usb1="080E0000" w:usb2="00000000" w:usb3="00000000" w:csb0="00040000" w:csb1="00000000"/>
    <w:embedRegular r:id="rId4" w:fontKey="{AF34360C-488E-4594-B2D4-42B003FC784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2D504">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32E1E6">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B32E1E6">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DAD27">
    <w:pPr>
      <w:pStyle w:val="13"/>
    </w:pPr>
    <w:r>
      <w:rPr>
        <w:rFonts w:hint="eastAsia"/>
      </w:rPr>
      <w:ptab w:relativeTo="margin" w:alignment="right" w:leader="none"/>
    </w:r>
    <w:r>
      <w:rPr>
        <w:rFonts w:hint="eastAsia"/>
      </w:rPr>
      <w:t>CUBECLOUD-LEGALAGENT-2026-P01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968CEF"/>
    <w:multiLevelType w:val="singleLevel"/>
    <w:tmpl w:val="9B968CEF"/>
    <w:lvl w:ilvl="0" w:tentative="0">
      <w:start w:val="1"/>
      <w:numFmt w:val="decimal"/>
      <w:suff w:val="space"/>
      <w:lvlText w:val="%1."/>
      <w:lvlJc w:val="left"/>
      <w:pPr>
        <w:ind w:left="425" w:hanging="425"/>
      </w:pPr>
      <w:rPr>
        <w:rFonts w:hint="default" w:ascii="方正仿宋_GB2312" w:hAnsi="方正仿宋_GB2312" w:eastAsia="方正仿宋_GB2312" w:cs="方正仿宋_GB2312"/>
      </w:rPr>
    </w:lvl>
  </w:abstractNum>
  <w:abstractNum w:abstractNumId="1">
    <w:nsid w:val="A676E433"/>
    <w:multiLevelType w:val="singleLevel"/>
    <w:tmpl w:val="A676E433"/>
    <w:lvl w:ilvl="0" w:tentative="0">
      <w:start w:val="1"/>
      <w:numFmt w:val="decimal"/>
      <w:suff w:val="space"/>
      <w:lvlText w:val="(%1)"/>
      <w:lvlJc w:val="left"/>
      <w:pPr>
        <w:ind w:left="425" w:hanging="425"/>
      </w:pPr>
      <w:rPr>
        <w:rFonts w:hint="default" w:ascii="方正仿宋_GB2312" w:hAnsi="方正仿宋_GB2312" w:eastAsia="方正仿宋_GB2312" w:cs="方正仿宋_GB2312"/>
      </w:rPr>
    </w:lvl>
  </w:abstractNum>
  <w:abstractNum w:abstractNumId="2">
    <w:nsid w:val="B350F189"/>
    <w:multiLevelType w:val="singleLevel"/>
    <w:tmpl w:val="B350F189"/>
    <w:lvl w:ilvl="0" w:tentative="0">
      <w:start w:val="1"/>
      <w:numFmt w:val="decimal"/>
      <w:suff w:val="nothing"/>
      <w:lvlText w:val="%1．"/>
      <w:lvlJc w:val="left"/>
      <w:pPr>
        <w:ind w:left="0" w:firstLine="400"/>
      </w:pPr>
      <w:rPr>
        <w:rFonts w:hint="default" w:ascii="方正仿宋_GB2312" w:hAnsi="方正仿宋_GB2312" w:eastAsia="方正仿宋_GB2312" w:cs="方正仿宋_GB2312"/>
      </w:rPr>
    </w:lvl>
  </w:abstractNum>
  <w:abstractNum w:abstractNumId="3">
    <w:nsid w:val="F642594C"/>
    <w:multiLevelType w:val="singleLevel"/>
    <w:tmpl w:val="F642594C"/>
    <w:lvl w:ilvl="0" w:tentative="0">
      <w:start w:val="1"/>
      <w:numFmt w:val="decimal"/>
      <w:suff w:val="space"/>
      <w:lvlText w:val="(%1)"/>
      <w:lvlJc w:val="left"/>
      <w:pPr>
        <w:ind w:left="425" w:hanging="425"/>
      </w:pPr>
      <w:rPr>
        <w:rFonts w:hint="default" w:ascii="方正仿宋_GB2312" w:hAnsi="方正仿宋_GB2312" w:eastAsia="方正仿宋_GB2312" w:cs="方正仿宋_GB2312"/>
      </w:rPr>
    </w:lvl>
  </w:abstractNum>
  <w:abstractNum w:abstractNumId="4">
    <w:nsid w:val="0887C243"/>
    <w:multiLevelType w:val="singleLevel"/>
    <w:tmpl w:val="0887C243"/>
    <w:lvl w:ilvl="0" w:tentative="0">
      <w:start w:val="1"/>
      <w:numFmt w:val="decimal"/>
      <w:suff w:val="nothing"/>
      <w:lvlText w:val="%1．"/>
      <w:lvlJc w:val="left"/>
      <w:pPr>
        <w:ind w:left="0" w:firstLine="400"/>
      </w:pPr>
      <w:rPr>
        <w:rFonts w:hint="default" w:ascii="方正仿宋_GB2312" w:hAnsi="方正仿宋_GB2312" w:eastAsia="方正仿宋_GB2312" w:cs="方正仿宋_GB2312"/>
        <w:sz w:val="28"/>
        <w:szCs w:val="28"/>
      </w:rPr>
    </w:lvl>
  </w:abstractNum>
  <w:abstractNum w:abstractNumId="5">
    <w:nsid w:val="0F0D64D2"/>
    <w:multiLevelType w:val="singleLevel"/>
    <w:tmpl w:val="0F0D64D2"/>
    <w:lvl w:ilvl="0" w:tentative="0">
      <w:start w:val="1"/>
      <w:numFmt w:val="decimal"/>
      <w:suff w:val="nothing"/>
      <w:lvlText w:val="%1．"/>
      <w:lvlJc w:val="left"/>
      <w:pPr>
        <w:ind w:left="0" w:firstLine="400"/>
      </w:pPr>
      <w:rPr>
        <w:rFonts w:hint="default" w:ascii="方正仿宋_GB2312" w:hAnsi="方正仿宋_GB2312" w:eastAsia="方正仿宋_GB2312" w:cs="方正仿宋_GB2312"/>
        <w:sz w:val="28"/>
        <w:szCs w:val="28"/>
      </w:rPr>
    </w:lvl>
  </w:abstractNum>
  <w:abstractNum w:abstractNumId="6">
    <w:nsid w:val="173FB359"/>
    <w:multiLevelType w:val="singleLevel"/>
    <w:tmpl w:val="173FB359"/>
    <w:lvl w:ilvl="0" w:tentative="0">
      <w:start w:val="1"/>
      <w:numFmt w:val="decimal"/>
      <w:suff w:val="nothing"/>
      <w:lvlText w:val="%1．"/>
      <w:lvlJc w:val="left"/>
      <w:pPr>
        <w:ind w:left="0" w:firstLine="400"/>
      </w:pPr>
      <w:rPr>
        <w:rFonts w:hint="default" w:ascii="方正仿宋_GB2312" w:hAnsi="方正仿宋_GB2312" w:eastAsia="方正仿宋_GB2312" w:cs="方正仿宋_GB2312"/>
      </w:rPr>
    </w:lvl>
  </w:abstractNum>
  <w:abstractNum w:abstractNumId="7">
    <w:nsid w:val="4981B095"/>
    <w:multiLevelType w:val="singleLevel"/>
    <w:tmpl w:val="4981B095"/>
    <w:lvl w:ilvl="0" w:tentative="0">
      <w:start w:val="1"/>
      <w:numFmt w:val="decimal"/>
      <w:suff w:val="nothing"/>
      <w:lvlText w:val="%1．"/>
      <w:lvlJc w:val="left"/>
      <w:pPr>
        <w:ind w:left="0" w:firstLine="400"/>
      </w:pPr>
      <w:rPr>
        <w:rFonts w:hint="default" w:ascii="方正仿宋_GB2312" w:hAnsi="方正仿宋_GB2312" w:eastAsia="方正仿宋_GB2312" w:cs="方正仿宋_GB2312"/>
      </w:rPr>
    </w:lvl>
  </w:abstractNum>
  <w:abstractNum w:abstractNumId="8">
    <w:nsid w:val="58455AB8"/>
    <w:multiLevelType w:val="singleLevel"/>
    <w:tmpl w:val="58455AB8"/>
    <w:lvl w:ilvl="0" w:tentative="0">
      <w:start w:val="1"/>
      <w:numFmt w:val="decimal"/>
      <w:suff w:val="nothing"/>
      <w:lvlText w:val="%1．"/>
      <w:lvlJc w:val="left"/>
      <w:pPr>
        <w:ind w:left="0" w:firstLine="400"/>
      </w:pPr>
      <w:rPr>
        <w:rFonts w:hint="default" w:ascii="方正仿宋_GB2312" w:hAnsi="方正仿宋_GB2312" w:eastAsia="方正仿宋_GB2312" w:cs="方正仿宋_GB2312"/>
      </w:rPr>
    </w:lvl>
  </w:abstractNum>
  <w:abstractNum w:abstractNumId="9">
    <w:nsid w:val="59F686F9"/>
    <w:multiLevelType w:val="singleLevel"/>
    <w:tmpl w:val="59F686F9"/>
    <w:lvl w:ilvl="0" w:tentative="0">
      <w:start w:val="1"/>
      <w:numFmt w:val="decimal"/>
      <w:suff w:val="nothing"/>
      <w:lvlText w:val="%1．"/>
      <w:lvlJc w:val="left"/>
      <w:pPr>
        <w:ind w:left="0" w:firstLine="400"/>
      </w:pPr>
      <w:rPr>
        <w:rFonts w:hint="default" w:ascii="方正仿宋_GB2312" w:hAnsi="方正仿宋_GB2312" w:eastAsia="方正仿宋_GB2312" w:cs="方正仿宋_GB2312"/>
      </w:rPr>
    </w:lvl>
  </w:abstractNum>
  <w:abstractNum w:abstractNumId="10">
    <w:nsid w:val="6BA96794"/>
    <w:multiLevelType w:val="singleLevel"/>
    <w:tmpl w:val="6BA96794"/>
    <w:lvl w:ilvl="0" w:tentative="0">
      <w:start w:val="1"/>
      <w:numFmt w:val="decimal"/>
      <w:suff w:val="nothing"/>
      <w:lvlText w:val="%1．"/>
      <w:lvlJc w:val="left"/>
      <w:pPr>
        <w:ind w:left="0" w:firstLine="400"/>
      </w:pPr>
      <w:rPr>
        <w:rFonts w:hint="default" w:ascii="方正仿宋_GB2312" w:hAnsi="方正仿宋_GB2312" w:eastAsia="方正仿宋_GB2312" w:cs="方正仿宋_GB2312"/>
      </w:rPr>
    </w:lvl>
  </w:abstractNum>
  <w:abstractNum w:abstractNumId="11">
    <w:nsid w:val="6E5B9855"/>
    <w:multiLevelType w:val="singleLevel"/>
    <w:tmpl w:val="6E5B9855"/>
    <w:lvl w:ilvl="0" w:tentative="0">
      <w:start w:val="1"/>
      <w:numFmt w:val="decimal"/>
      <w:suff w:val="nothing"/>
      <w:lvlText w:val="%1．"/>
      <w:lvlJc w:val="left"/>
      <w:pPr>
        <w:ind w:left="0" w:firstLine="400"/>
      </w:pPr>
      <w:rPr>
        <w:rFonts w:hint="default" w:ascii="方正仿宋_GB2312" w:hAnsi="方正仿宋_GB2312" w:eastAsia="方正仿宋_GB2312" w:cs="方正仿宋_GB2312"/>
      </w:rPr>
    </w:lvl>
  </w:abstractNum>
  <w:num w:numId="1">
    <w:abstractNumId w:val="4"/>
  </w:num>
  <w:num w:numId="2">
    <w:abstractNumId w:val="7"/>
  </w:num>
  <w:num w:numId="3">
    <w:abstractNumId w:val="5"/>
  </w:num>
  <w:num w:numId="4">
    <w:abstractNumId w:val="2"/>
  </w:num>
  <w:num w:numId="5">
    <w:abstractNumId w:val="8"/>
  </w:num>
  <w:num w:numId="6">
    <w:abstractNumId w:val="11"/>
  </w:num>
  <w:num w:numId="7">
    <w:abstractNumId w:val="1"/>
  </w:num>
  <w:num w:numId="8">
    <w:abstractNumId w:val="10"/>
  </w:num>
  <w:num w:numId="9">
    <w:abstractNumId w:val="0"/>
  </w:num>
  <w:num w:numId="10">
    <w:abstractNumId w:val="6"/>
  </w:num>
  <w:num w:numId="11">
    <w:abstractNumId w:val="9"/>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8C7FB714"/>
    <w:rsid w:val="4DD90BD7"/>
    <w:rsid w:val="6BBF7DD2"/>
    <w:rsid w:val="778F583E"/>
    <w:rsid w:val="7FBD0EF3"/>
    <w:rsid w:val="8C7FB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jc w:val="both"/>
    </w:pPr>
    <w:rPr>
      <w:rFonts w:eastAsia="方正仿宋_GB2312" w:asciiTheme="minorAscii" w:hAnsiTheme="minorAscii" w:cstheme="minorBidi"/>
      <w:kern w:val="2"/>
      <w:sz w:val="28"/>
      <w:szCs w:val="24"/>
      <w:lang w:val="en-US" w:eastAsia="zh-CN" w:bidi="ar-SA"/>
    </w:rPr>
  </w:style>
  <w:style w:type="paragraph" w:styleId="2">
    <w:name w:val="heading 1"/>
    <w:next w:val="1"/>
    <w:qFormat/>
    <w:uiPriority w:val="0"/>
    <w:pPr>
      <w:keepNext w:val="0"/>
      <w:keepLines w:val="0"/>
      <w:widowControl w:val="0"/>
      <w:spacing w:before="240" w:beforeLines="0" w:after="120" w:afterLines="0" w:line="560" w:lineRule="exact"/>
      <w:jc w:val="left"/>
      <w:outlineLvl w:val="0"/>
    </w:pPr>
    <w:rPr>
      <w:rFonts w:ascii="宋体" w:hAnsi="宋体" w:eastAsia="黑体" w:cs="宋体"/>
      <w:b/>
      <w:bCs/>
      <w:kern w:val="44"/>
      <w:sz w:val="30"/>
      <w:szCs w:val="30"/>
    </w:rPr>
  </w:style>
  <w:style w:type="paragraph" w:styleId="3">
    <w:name w:val="heading 2"/>
    <w:next w:val="1"/>
    <w:semiHidden/>
    <w:unhideWhenUsed/>
    <w:qFormat/>
    <w:uiPriority w:val="0"/>
    <w:pPr>
      <w:keepNext w:val="0"/>
      <w:keepLines w:val="0"/>
      <w:widowControl w:val="0"/>
      <w:spacing w:before="120" w:beforeAutospacing="0" w:after="120" w:afterAutospacing="0" w:line="360" w:lineRule="auto"/>
      <w:jc w:val="left"/>
      <w:outlineLvl w:val="1"/>
    </w:pPr>
    <w:rPr>
      <w:rFonts w:ascii="Times New Roman" w:hAnsi="Times New Roman" w:eastAsia="宋体" w:cs="Times New Roman"/>
      <w:b/>
      <w:sz w:val="24"/>
    </w:rPr>
  </w:style>
  <w:style w:type="paragraph" w:styleId="4">
    <w:name w:val="heading 3"/>
    <w:next w:val="1"/>
    <w:semiHidden/>
    <w:unhideWhenUsed/>
    <w:qFormat/>
    <w:uiPriority w:val="0"/>
    <w:pPr>
      <w:keepNext w:val="0"/>
      <w:keepLines w:val="0"/>
      <w:widowControl w:val="0"/>
      <w:spacing w:beforeAutospacing="0" w:after="120" w:afterAutospacing="0" w:line="300" w:lineRule="auto"/>
      <w:jc w:val="left"/>
      <w:outlineLvl w:val="2"/>
    </w:pPr>
    <w:rPr>
      <w:rFonts w:ascii="Times New Roman" w:hAnsi="Times New Roman" w:eastAsia="宋体" w:cs="Times New Roman"/>
      <w:sz w:val="24"/>
    </w:rPr>
  </w:style>
  <w:style w:type="paragraph" w:styleId="5">
    <w:name w:val="heading 4"/>
    <w:next w:val="1"/>
    <w:semiHidden/>
    <w:unhideWhenUsed/>
    <w:qFormat/>
    <w:uiPriority w:val="0"/>
    <w:pPr>
      <w:keepNext w:val="0"/>
      <w:keepLines w:val="0"/>
      <w:widowControl w:val="0"/>
      <w:spacing w:beforeAutospacing="0" w:after="120" w:afterAutospacing="0" w:line="300" w:lineRule="auto"/>
      <w:outlineLvl w:val="3"/>
    </w:pPr>
    <w:rPr>
      <w:rFonts w:ascii="Times New Roman" w:hAnsi="Times New Roman" w:eastAsia="宋体" w:cs="Times New Roman"/>
      <w:sz w:val="24"/>
    </w:rPr>
  </w:style>
  <w:style w:type="paragraph" w:styleId="6">
    <w:name w:val="heading 5"/>
    <w:next w:val="1"/>
    <w:semiHidden/>
    <w:unhideWhenUsed/>
    <w:qFormat/>
    <w:uiPriority w:val="0"/>
    <w:pPr>
      <w:keepNext w:val="0"/>
      <w:keepLines w:val="0"/>
      <w:spacing w:beforeLines="0" w:beforeAutospacing="0" w:after="120" w:afterLines="0" w:afterAutospacing="0" w:line="300" w:lineRule="auto"/>
      <w:jc w:val="left"/>
      <w:outlineLvl w:val="4"/>
    </w:pPr>
    <w:rPr>
      <w:rFonts w:ascii="Times New Roman" w:hAnsi="Times New Roman" w:eastAsia="宋体" w:cs="Times New Roman"/>
      <w:sz w:val="24"/>
    </w:rPr>
  </w:style>
  <w:style w:type="paragraph" w:styleId="7">
    <w:name w:val="heading 6"/>
    <w:next w:val="1"/>
    <w:semiHidden/>
    <w:unhideWhenUsed/>
    <w:qFormat/>
    <w:uiPriority w:val="0"/>
    <w:pPr>
      <w:keepNext w:val="0"/>
      <w:keepLines w:val="0"/>
      <w:spacing w:beforeLines="0" w:beforeAutospacing="0" w:after="120" w:afterLines="0" w:afterAutospacing="0" w:line="300" w:lineRule="auto"/>
      <w:jc w:val="left"/>
      <w:outlineLvl w:val="5"/>
    </w:pPr>
    <w:rPr>
      <w:rFonts w:ascii="Times New Roman" w:hAnsi="Times New Roman" w:eastAsia="宋体" w:cs="Times New Roman"/>
      <w:sz w:val="24"/>
    </w:rPr>
  </w:style>
  <w:style w:type="paragraph" w:styleId="8">
    <w:name w:val="heading 7"/>
    <w:next w:val="1"/>
    <w:semiHidden/>
    <w:unhideWhenUsed/>
    <w:qFormat/>
    <w:uiPriority w:val="0"/>
    <w:pPr>
      <w:keepNext w:val="0"/>
      <w:keepLines w:val="0"/>
      <w:spacing w:beforeLines="0" w:beforeAutospacing="0" w:after="120" w:afterLines="0" w:afterAutospacing="0" w:line="300" w:lineRule="auto"/>
      <w:jc w:val="left"/>
      <w:outlineLvl w:val="6"/>
    </w:pPr>
    <w:rPr>
      <w:rFonts w:ascii="Times New Roman" w:hAnsi="Times New Roman" w:eastAsia="宋体" w:cs="Times New Roman"/>
      <w:sz w:val="24"/>
    </w:rPr>
  </w:style>
  <w:style w:type="paragraph" w:styleId="9">
    <w:name w:val="heading 8"/>
    <w:next w:val="1"/>
    <w:semiHidden/>
    <w:unhideWhenUsed/>
    <w:qFormat/>
    <w:uiPriority w:val="0"/>
    <w:pPr>
      <w:keepNext w:val="0"/>
      <w:keepLines w:val="0"/>
      <w:spacing w:beforeLines="0" w:beforeAutospacing="0" w:after="120" w:afterLines="0" w:afterAutospacing="0" w:line="300" w:lineRule="auto"/>
      <w:jc w:val="left"/>
      <w:outlineLvl w:val="7"/>
    </w:pPr>
    <w:rPr>
      <w:rFonts w:ascii="Times New Roman" w:hAnsi="Times New Roman" w:eastAsia="宋体" w:cs="Times New Roman"/>
      <w:sz w:val="24"/>
    </w:rPr>
  </w:style>
  <w:style w:type="paragraph" w:styleId="10">
    <w:name w:val="heading 9"/>
    <w:next w:val="1"/>
    <w:semiHidden/>
    <w:unhideWhenUsed/>
    <w:qFormat/>
    <w:uiPriority w:val="0"/>
    <w:pPr>
      <w:keepNext w:val="0"/>
      <w:keepLines w:val="0"/>
      <w:spacing w:beforeLines="0" w:beforeAutospacing="0" w:after="120" w:afterLines="0" w:afterAutospacing="0" w:line="300" w:lineRule="auto"/>
      <w:jc w:val="left"/>
      <w:outlineLvl w:val="8"/>
    </w:pPr>
    <w:rPr>
      <w:rFonts w:ascii="Times New Roman" w:hAnsi="Times New Roman" w:eastAsia="宋体" w:cs="Times New Roman"/>
      <w:sz w:val="24"/>
    </w:rPr>
  </w:style>
  <w:style w:type="character" w:default="1" w:styleId="17">
    <w:name w:val="Default Paragraph Font"/>
    <w:semiHidden/>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Body Text"/>
    <w:uiPriority w:val="0"/>
    <w:pPr>
      <w:spacing w:after="120" w:afterAutospacing="0" w:line="300" w:lineRule="auto"/>
      <w:ind w:firstLine="420" w:firstLineChars="200"/>
    </w:pPr>
    <w:rPr>
      <w:rFonts w:ascii="Times New Roman" w:hAnsi="Times New Roman" w:eastAsia="宋体" w:cs="Times New Roman"/>
      <w:sz w:val="24"/>
    </w:rPr>
  </w:style>
  <w:style w:type="paragraph" w:styleId="12">
    <w:name w:val="footer"/>
    <w:basedOn w:val="1"/>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Subtitle"/>
    <w:qFormat/>
    <w:uiPriority w:val="0"/>
    <w:pPr>
      <w:widowControl w:val="0"/>
      <w:spacing w:before="120" w:beforeLines="0" w:beforeAutospacing="0" w:after="240" w:afterAutospacing="0" w:line="360" w:lineRule="auto"/>
      <w:jc w:val="center"/>
      <w:outlineLvl w:val="9"/>
    </w:pPr>
    <w:rPr>
      <w:rFonts w:ascii="Calibri" w:hAnsi="Calibri" w:eastAsia="宋体" w:cs="Times New Roman"/>
      <w:b/>
      <w:kern w:val="28"/>
      <w:sz w:val="24"/>
    </w:rPr>
  </w:style>
  <w:style w:type="paragraph" w:styleId="15">
    <w:name w:val="Title"/>
    <w:qFormat/>
    <w:uiPriority w:val="0"/>
    <w:pPr>
      <w:widowControl w:val="0"/>
      <w:spacing w:beforeAutospacing="0" w:afterAutospacing="0" w:line="360" w:lineRule="auto"/>
      <w:jc w:val="center"/>
      <w:outlineLvl w:val="9"/>
    </w:pPr>
    <w:rPr>
      <w:rFonts w:ascii="Times New Roman" w:hAnsi="Times New Roman" w:eastAsia="黑体" w:cs="Times New Roman"/>
      <w:sz w:val="44"/>
    </w:rPr>
  </w:style>
  <w:style w:type="paragraph" w:customStyle="1" w:styleId="18">
    <w:name w:val="附录标题"/>
    <w:next w:val="1"/>
    <w:qFormat/>
    <w:uiPriority w:val="0"/>
    <w:pPr>
      <w:keepNext w:val="0"/>
      <w:keepLines w:val="0"/>
      <w:widowControl w:val="0"/>
      <w:spacing w:before="240" w:after="120" w:line="360" w:lineRule="auto"/>
      <w:jc w:val="left"/>
      <w:outlineLvl w:val="0"/>
    </w:pPr>
    <w:rPr>
      <w:rFonts w:ascii="Times New Roman" w:hAnsi="Times New Roman" w:eastAsia="宋体" w:cs="Times New Roman"/>
      <w:b/>
      <w:sz w:val="24"/>
    </w:rPr>
  </w:style>
  <w:style w:type="paragraph" w:customStyle="1" w:styleId="19">
    <w:name w:val="强调标题"/>
    <w:next w:val="1"/>
    <w:uiPriority w:val="0"/>
    <w:pPr>
      <w:spacing w:before="240" w:after="120" w:line="360" w:lineRule="auto"/>
      <w:ind w:firstLine="600" w:firstLineChars="200"/>
      <w:jc w:val="left"/>
      <w:outlineLvl w:val="0"/>
    </w:pPr>
    <w:rPr>
      <w:rFonts w:ascii="Times New Roman" w:hAnsi="Times New Roman" w:eastAsia="宋体" w:cs="Times New Roman"/>
      <w:b/>
      <w:sz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2.xml"/><Relationship Id="rId12" Type="http://schemas.openxmlformats.org/officeDocument/2006/relationships/header" Target="header3.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2691</Words>
  <Characters>3040</Characters>
  <Lines>0</Lines>
  <Paragraphs>0</Paragraphs>
  <TotalTime>23</TotalTime>
  <ScaleCrop>false</ScaleCrop>
  <LinksUpToDate>false</LinksUpToDate>
  <CharactersWithSpaces>3306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2026-06-05T22:47:00Z</dcterms:created>
  <dc:creator>123</dc:creator>
  <cp:lastModifiedBy>123</cp:lastModifiedBy>
  <dcterms:modified xsi:type="dcterms:W3CDTF">2026-06-05T05:44:28Z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A0A2E3C0AD0B41DFB982753F20270ADD_13</vt:lpwstr>
  </property>
  <property fmtid="{D5CDD505-2E9C-101B-9397-08002B2CF9AE}" pid="4" name="KSOTemplateDocerSaveRecord">
    <vt:lpwstr>eyJoZGlkIjoiZDUzODFhN2UyNzVhZDY5Y2MwZDc5ZDIxMmNhOWMyMjAiLCJ1c2VySWQiOiIyNzU4MTEyMDgifQ==</vt:lpwstr>
  </property>
</Properties>
</file>