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Belli, E., &amp; Sara¸co˘glu, Y. Y. (2021). The relationship between the economic development levels of the countries and their sporting achievements in the 2020 Tokyo Olympics. *Journal of Educational Issues, 7*(3), 33-42. https: //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doi.org/10.5296/jei.v7i3.19265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Bian, X. (2005). Predicting Olympic medal counts: The effects of economic development on Olympic performance. The Park Place Economist, XIII, 37-44. Retrieved from https://www.researchgate. net/publication/28328103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Rathke, A., &amp; Woitek, U. (2008). Economics and the Summer Olympics: An efficiency analysis. Journal of Sports Economics, 9(5), 520-537. https://doi.org/ 10.1177/1527002507313743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Hoffmann, R., Lee, C. G., &amp; Ramasamy, B. (2004). Olympic success and ASEAN countries: Economic analysis and policy implications. Journal of Sports Economics, 5(3), 262-276. https://doi.org/ 10.1177/1527002503261826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Moosa, I. A., &amp; Smith, L. (2004). Economic development indicators as determinants of medal winning at the Sydney Olympics: An extreme bounds analysis. Australian Economic Papers, 43(3), 288-301.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Bernard, A. B., &amp; Busse, M. R. (2004). Who wins the Olympic games: Economic resources and medal totals. The Review of Economics and Statistics, 86(1), 413–417. https://doi.org/10. 1162/003465304323023769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Tcha, M., &amp; Pershin, V. (2003). Reconsidering Performance at the Summer Olympics and Revealed Comparative Advantage. Journal of Sports Economics, 4(3), 216- 239. https://doi.org/10.1177/ 1527002503251636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i.org/10.5296/jei.v7i3.192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