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exact"/>
        <w:jc w:val="both"/>
      </w:pPr>
    </w:p>
    <w:p>
      <w:pPr>
        <w:spacing w:after="120" w:before="0" w:line="360" w:lineRule="exact"/>
        <w:jc w:val="both"/>
      </w:pPr>
    </w:p>
    <w:p>
      <w:pPr>
        <w:spacing w:after="120" w:before="0" w:line="360" w:lineRule="exact"/>
        <w:jc w:val="both"/>
      </w:pPr>
    </w:p>
    <w:p>
      <w:pPr>
        <w:spacing w:after="120" w:before="0" w:line="360" w:lineRule="exact"/>
        <w:jc w:val="both"/>
      </w:pPr>
    </w:p>
    <w:p>
      <w:pPr>
        <w:spacing w:after="120" w:before="0" w:line="360" w:lineRule="exact"/>
        <w:jc w:val="both"/>
      </w:pPr>
    </w:p>
    <w:p>
      <w:pPr>
        <w:spacing w:after="120" w:before="0" w:line="360" w:lineRule="exact"/>
        <w:jc w:val="both"/>
      </w:pPr>
    </w:p>
    <w:p>
      <w:pPr>
        <w:spacing w:after="480" w:before="0" w:line="360" w:lineRule="exact"/>
        <w:jc w:val="center"/>
      </w:pPr>
      <w:r>
        <w:rPr>
          <w:rFonts w:ascii="Times New Roman" w:hAnsi="Times New Roman" w:eastAsia="Times New Roman" w:cs="Times New Roman"/>
          <w:rFonts w:ascii="Times New Roman" w:hAnsi="Times New Roman"/>
          <w:b/>
          <w:color w:val="000000"/>
          <w:sz w:val="36"/>
        </w:rPr>
        <w:t>BUSINESS PLAN</w:t>
      </w:r>
    </w:p>
    <w:p>
      <w:pPr>
        <w:spacing w:after="120" w:before="0" w:line="360" w:lineRule="exact"/>
        <w:jc w:val="center"/>
      </w:pPr>
      <w:r>
        <w:rPr>
          <w:rFonts w:ascii="Times New Roman" w:hAnsi="Times New Roman" w:eastAsia="Times New Roman" w:cs="Times New Roman"/>
          <w:rFonts w:ascii="Times New Roman" w:hAnsi="Times New Roman"/>
          <w:b/>
          <w:color w:val="000000"/>
          <w:sz w:val="28"/>
        </w:rPr>
        <w:t>PROJET D'ENTREPRENEURIAT</w:t>
      </w:r>
    </w:p>
    <w:p>
      <w:pPr>
        <w:spacing w:after="720" w:before="0" w:line="360" w:lineRule="exact"/>
        <w:jc w:val="center"/>
      </w:pPr>
      <w:r>
        <w:rPr>
          <w:rFonts w:ascii="Times New Roman" w:hAnsi="Times New Roman" w:eastAsia="Times New Roman" w:cs="Times New Roman"/>
          <w:rFonts w:ascii="Times New Roman" w:hAnsi="Times New Roman"/>
          <w:b/>
          <w:color w:val="000000"/>
          <w:sz w:val="28"/>
        </w:rPr>
        <w:t>AGRICULTURE HYDROPONIQUE &amp; TRANSFORMATION</w:t>
      </w:r>
    </w:p>
    <w:p>
      <w:pPr>
        <w:spacing w:after="120" w:before="0" w:line="360" w:lineRule="exact"/>
        <w:jc w:val="center"/>
      </w:pPr>
      <w:r>
        <w:rPr>
          <w:rFonts w:ascii="Times New Roman" w:hAnsi="Times New Roman" w:eastAsia="Times New Roman" w:cs="Times New Roman"/>
          <w:rFonts w:ascii="Times New Roman" w:hAnsi="Times New Roman"/>
          <w:b/>
          <w:color w:val="000000"/>
          <w:sz w:val="24"/>
        </w:rPr>
        <w:t xml:space="preserve">Lieu : </w:t>
      </w:r>
      <w:r>
        <w:rPr>
          <w:rFonts w:ascii="Times New Roman" w:hAnsi="Times New Roman" w:eastAsia="Times New Roman" w:cs="Times New Roman"/>
          <w:rFonts w:ascii="Times New Roman" w:hAnsi="Times New Roman"/>
          <w:b w:val="0"/>
          <w:color w:val="000000"/>
          <w:sz w:val="24"/>
        </w:rPr>
        <w:t>Kaffrine, Sénégal</w:t>
      </w:r>
    </w:p>
    <w:p>
      <w:pPr>
        <w:spacing w:after="120" w:before="0" w:line="360" w:lineRule="exact"/>
        <w:jc w:val="center"/>
      </w:pPr>
      <w:r>
        <w:rPr>
          <w:rFonts w:ascii="Times New Roman" w:hAnsi="Times New Roman" w:eastAsia="Times New Roman" w:cs="Times New Roman"/>
          <w:rFonts w:ascii="Times New Roman" w:hAnsi="Times New Roman"/>
          <w:b/>
          <w:color w:val="000000"/>
          <w:sz w:val="24"/>
        </w:rPr>
        <w:t xml:space="preserve">Date : </w:t>
      </w:r>
      <w:r>
        <w:rPr>
          <w:rFonts w:ascii="Times New Roman" w:hAnsi="Times New Roman" w:eastAsia="Times New Roman" w:cs="Times New Roman"/>
          <w:rFonts w:ascii="Times New Roman" w:hAnsi="Times New Roman"/>
          <w:b w:val="0"/>
          <w:color w:val="000000"/>
          <w:sz w:val="24"/>
        </w:rPr>
        <w:t>Février 2026</w:t>
      </w:r>
    </w:p>
    <w:p>
      <w:pPr>
        <w:spacing w:after="120" w:before="0" w:line="360" w:lineRule="exact"/>
        <w:jc w:val="center"/>
      </w:pPr>
      <w:r>
        <w:rPr>
          <w:rFonts w:ascii="Times New Roman" w:hAnsi="Times New Roman" w:eastAsia="Times New Roman" w:cs="Times New Roman"/>
          <w:rFonts w:ascii="Times New Roman" w:hAnsi="Times New Roman"/>
          <w:b/>
          <w:color w:val="000000"/>
          <w:sz w:val="24"/>
        </w:rPr>
        <w:t xml:space="preserve">Promoteur(s) : </w:t>
      </w:r>
      <w:r>
        <w:rPr>
          <w:rFonts w:ascii="Times New Roman" w:hAnsi="Times New Roman" w:eastAsia="Times New Roman" w:cs="Times New Roman"/>
          <w:rFonts w:ascii="Times New Roman" w:hAnsi="Times New Roman"/>
          <w:b/>
          <w:color w:val="FF0000"/>
          <w:sz w:val="24"/>
        </w:rPr>
        <w:t>XX</w:t>
      </w:r>
    </w:p>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TABLE DES MATIÈRES</w:t>
      </w:r>
    </w:p>
    <w:p>
      <w:pPr>
        <w:spacing w:after="12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val="0"/>
          <w:color w:val="000000"/>
          <w:sz w:val="24"/>
        </w:rPr>
        <w:t>INTRODUCTION</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1ère PARTIE : L'ENTREPRISE ET LES PROMOTEURS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 Présentation générale du projet</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 Objectifs de croissance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III. Vision et Mission</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IV. Présentation des promoteurs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V. Cadre juridique et fiscal</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2ème PARTIE : L'ÉTUDE DU MARCHÉ</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 Analyse du marché</w:t>
      </w:r>
    </w:p>
    <w:p>
      <w:pPr>
        <w:spacing w:after="40" w:before="0" w:line="360" w:lineRule="exact"/>
        <w:ind w:left="1134"/>
        <w:jc w:val="both"/>
      </w:pPr>
      <w:r>
        <w:rPr>
          <w:rFonts w:ascii="Times New Roman" w:hAnsi="Times New Roman" w:eastAsia="Times New Roman" w:cs="Times New Roman"/>
          <w:rFonts w:ascii="Times New Roman" w:hAnsi="Times New Roman"/>
          <w:b w:val="0"/>
          <w:color w:val="000000"/>
          <w:sz w:val="24"/>
        </w:rPr>
        <w:t>1- Analyse de la demande</w:t>
      </w:r>
    </w:p>
    <w:p>
      <w:pPr>
        <w:spacing w:after="40" w:before="0" w:line="360" w:lineRule="exact"/>
        <w:ind w:left="1134"/>
        <w:jc w:val="both"/>
      </w:pPr>
      <w:r>
        <w:rPr>
          <w:rFonts w:ascii="Times New Roman" w:hAnsi="Times New Roman" w:eastAsia="Times New Roman" w:cs="Times New Roman"/>
          <w:rFonts w:ascii="Times New Roman" w:hAnsi="Times New Roman"/>
          <w:b w:val="0"/>
          <w:color w:val="000000"/>
          <w:sz w:val="24"/>
        </w:rPr>
        <w:t>2- Analyse de l'offre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 Analyse de l'environnement</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III. Business Model Canvas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IV. Prévisions des ventes</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3ème PARTIE : ÉTUDE TECHNIQUE ET OPÉRATIONNELLE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 Cadre technique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 Cadre organisationnel</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4ème PARTIE : ÉTUDE FINANCIÈRE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 Investissements et coût total</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 Plan de financement initial</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III. Remboursement de l'emprunt</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IV. Amortissement des immobilisations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V. Compte d'exploitation prévisionnel</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VI. Valeur Actuelle Nette (VAN)</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VII. Seuil de rentabilité</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VIII. Plan de financement sur 5 ans</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5ème PARTIE : IMPACTS SOCIO-ÉCONOMIQUES ET GESTION DES RISQUES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 Impact économique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 Impact social</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III. Impact environnemental</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IV. Risques et mesures d'atténuation</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val="0"/>
          <w:color w:val="000000"/>
          <w:sz w:val="24"/>
        </w:rPr>
        <w:t>CONCLUSION</w:t>
      </w:r>
    </w:p>
    <w:p>
      <w:pPr>
        <w:spacing w:after="40" w:before="0" w:line="360" w:lineRule="exact"/>
        <w:jc w:val="both"/>
      </w:pPr>
    </w:p>
    <w:p>
      <w:pPr>
        <w:spacing w:after="40" w:before="0" w:line="360" w:lineRule="exact"/>
        <w:ind w:left="0"/>
        <w:jc w:val="both"/>
      </w:pPr>
      <w:r>
        <w:rPr>
          <w:rFonts w:ascii="Times New Roman" w:hAnsi="Times New Roman" w:eastAsia="Times New Roman" w:cs="Times New Roman"/>
          <w:rFonts w:ascii="Times New Roman" w:hAnsi="Times New Roman"/>
          <w:b/>
          <w:color w:val="000000"/>
          <w:sz w:val="24"/>
        </w:rPr>
        <w:t>ANNEXES</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Annexe 1 : Questionnaire d'enquête</w:t>
      </w:r>
    </w:p>
    <w:p>
      <w:pPr>
        <w:spacing w:after="40" w:before="0" w:line="360" w:lineRule="exact"/>
        <w:ind w:left="567"/>
        <w:jc w:val="both"/>
      </w:pPr>
      <w:r>
        <w:rPr>
          <w:rFonts w:ascii="Times New Roman" w:hAnsi="Times New Roman" w:eastAsia="Times New Roman" w:cs="Times New Roman"/>
          <w:rFonts w:ascii="Times New Roman" w:hAnsi="Times New Roman"/>
          <w:b w:val="0"/>
          <w:color w:val="000000"/>
          <w:sz w:val="24"/>
        </w:rPr>
        <w:t>Annexe 2 : Tableau des produits et prix</w:t>
      </w:r>
    </w:p>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INTRODUCTION</w:t>
      </w:r>
    </w:p>
    <w:p>
      <w:pPr>
        <w:spacing w:after="120" w:before="0" w:line="360" w:lineRule="exact"/>
        <w:jc w:val="both"/>
      </w:pP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Dans un contexte marqué par une forte demande en produits alimentaires sains et locaux, le présent projet vise la création d'une entreprise agroalimentaire moderne basée sur la culture hors sol (hydroponie), combinée à une unité artisanale de transformation. L'entreprise aura pour activité principale la production de fruits et légumes à haute valeur ajoutée, ainsi que leur transformation en produits dérivés (jus, compotes, confitures, sauces et tartinades). Les produits seront commercialisés localement sous une marque propre.</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Ce projet ambitionne de contribuer à la sécurité alimentaire, à la création d'emplois locaux et à la valorisation des produits agricoles de la région de Kaffrine. Le coût total du projet est estimé à 13 000 000 FCFA, financé à hauteur de 30 % par apport personnel et 70 % par emprunt bancaire.</w:t>
      </w:r>
    </w:p>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1ère PARTIE : L'ENTREPRISE ET LES PROMOTEURS</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 Présentation générale du projet</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Historique</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Ce projet est né du constat de la difficulté d'accès à des produits frais et transformés de qualité dans la région de Kaffrine, ainsi que du manque d'unités agricoles modernes. L'idée est venue de combiner l'agriculture innovante (hydroponie) avec la transformation locale afin d'augmenter la valeur des produits.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Opportunités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Demande croissante en produits naturels et sains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Faible concurrence structurée dans la région</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Marchés locaux disponibles (marchés hebdomadaires, restaurants, écoles)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Politique nationale favorable (PSE, PRACAS)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Description du projet</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Produire des légumes (tomate, laitue, poivron, concombre, aubergine) par culture hydroponique sous serre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Produire ou acheter localement certains fruits (fraise, melon, pastèque, papaye, mangue)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Transformer une partie de la production en jus, compotes, confitures, sauces et tartinades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Commercialiser les produits sous une marque locale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Mode d'utilisation</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Produits frais pour consommation directe. Produits transformés conditionnés en bouteilles et pots.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Secteur d'activité</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Agroalimentaire (agriculture moderne – hydroponie + transformation artisanale + commerce alimentaire).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Points forts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Utilisation rationnelle de l'eau (goutte-à-goutte, 90 % d'économie)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Production sous serre (qualité, protection climatique)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Double activité : production + transformation</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Marché local favorable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Production toute l'année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Points faibles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Investissement initial élevé (13 000 000 FCFA)</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Besoin de formation technique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Dépendance à l'électricité et à l'eau</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Technologie peu connue localement</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Contraintes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Techniques : maîtrise de l'hydroponie, maintenance des équipements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Financières : coût des équipements, accès au crédit</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Marché : pouvoir d'achat local limité</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Réglementaires : autorisation sanitaire, RCCM, fiscalité</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 Objectifs de croissance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Moyen terme (1-3 ans)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Atteindre l'équilibre financier en moins de 24 mois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Transformer 1 tonne de produits par mois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Créer 10 à 15 emplois directs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Atteindre un chiffre d'affaires de 37 500 000 FCFA en année 3</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Assurer une distribution régionale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Long terme (3-5 ans et au-delà)</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Développer l'aquaponie (combinaison élevage poisson + hydroponie)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Construire de nouvelles serres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Lancer de nouveaux produits transformés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Accéder au marché national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Passer de SARL à SA</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Atteindre un chiffre d'affaires de 56 000 000 FCFA en année 5</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Tableau de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fill="D9D9D9"/>
          </w:tcPr>
          <w:p>
            <w:pPr>
              <w:jc w:val="center"/>
            </w:pPr>
            <w:r>
              <w:rPr>
                <w:rFonts w:ascii="Times New Roman" w:hAnsi="Times New Roman" w:eastAsia="Times New Roman" w:cs="Times New Roman"/>
                <w:rFonts w:ascii="Times New Roman" w:hAnsi="Times New Roman"/>
                <w:b/>
                <w:color w:val="000000"/>
                <w:sz w:val="20"/>
              </w:rPr>
              <w:t>Indicateur</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1</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2</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3</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4</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5</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CA (FCFA)</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24 000 000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30 000 000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37 500 000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46 000 000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56 000 000</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Emplois</w:t>
            </w:r>
          </w:p>
        </w:tc>
        <w:tc>
          <w:tcPr>
            <w:tcW w:type="dxa" w:w="1568"/>
          </w:tcPr>
          <w:p>
            <w:pPr>
              <w:jc w:val="center"/>
            </w:pPr>
            <w:r>
              <w:rPr>
                <w:rFonts w:ascii="Times New Roman" w:hAnsi="Times New Roman" w:eastAsia="Times New Roman" w:cs="Times New Roman"/>
                <w:rFonts w:ascii="Times New Roman" w:hAnsi="Times New Roman"/>
                <w:b w:val="0"/>
                <w:color w:val="000000"/>
                <w:sz w:val="20"/>
              </w:rPr>
              <w:t>7</w:t>
            </w:r>
          </w:p>
        </w:tc>
        <w:tc>
          <w:tcPr>
            <w:tcW w:type="dxa" w:w="1568"/>
          </w:tcPr>
          <w:p>
            <w:pPr>
              <w:jc w:val="center"/>
            </w:pPr>
            <w:r>
              <w:rPr>
                <w:rFonts w:ascii="Times New Roman" w:hAnsi="Times New Roman" w:eastAsia="Times New Roman" w:cs="Times New Roman"/>
                <w:rFonts w:ascii="Times New Roman" w:hAnsi="Times New Roman"/>
                <w:b w:val="0"/>
                <w:color w:val="000000"/>
                <w:sz w:val="20"/>
              </w:rPr>
              <w:t>9</w:t>
            </w:r>
          </w:p>
        </w:tc>
        <w:tc>
          <w:tcPr>
            <w:tcW w:type="dxa" w:w="1568"/>
          </w:tcPr>
          <w:p>
            <w:pPr>
              <w:jc w:val="center"/>
            </w:pPr>
            <w:r>
              <w:rPr>
                <w:rFonts w:ascii="Times New Roman" w:hAnsi="Times New Roman" w:eastAsia="Times New Roman" w:cs="Times New Roman"/>
                <w:rFonts w:ascii="Times New Roman" w:hAnsi="Times New Roman"/>
                <w:b w:val="0"/>
                <w:color w:val="000000"/>
                <w:sz w:val="20"/>
              </w:rPr>
              <w:t>12</w:t>
            </w:r>
          </w:p>
        </w:tc>
        <w:tc>
          <w:tcPr>
            <w:tcW w:type="dxa" w:w="1568"/>
          </w:tcPr>
          <w:p>
            <w:pPr>
              <w:jc w:val="center"/>
            </w:pPr>
            <w:r>
              <w:rPr>
                <w:rFonts w:ascii="Times New Roman" w:hAnsi="Times New Roman" w:eastAsia="Times New Roman" w:cs="Times New Roman"/>
                <w:rFonts w:ascii="Times New Roman" w:hAnsi="Times New Roman"/>
                <w:b w:val="0"/>
                <w:color w:val="000000"/>
                <w:sz w:val="20"/>
              </w:rPr>
              <w:t>14</w:t>
            </w:r>
          </w:p>
        </w:tc>
        <w:tc>
          <w:tcPr>
            <w:tcW w:type="dxa" w:w="1568"/>
          </w:tcPr>
          <w:p>
            <w:pPr>
              <w:jc w:val="center"/>
            </w:pPr>
            <w:r>
              <w:rPr>
                <w:rFonts w:ascii="Times New Roman" w:hAnsi="Times New Roman" w:eastAsia="Times New Roman" w:cs="Times New Roman"/>
                <w:rFonts w:ascii="Times New Roman" w:hAnsi="Times New Roman"/>
                <w:b w:val="0"/>
                <w:color w:val="000000"/>
                <w:sz w:val="20"/>
              </w:rPr>
              <w:t>17</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Forme juridique</w:t>
            </w:r>
          </w:p>
        </w:tc>
        <w:tc>
          <w:tcPr>
            <w:tcW w:type="dxa" w:w="1568"/>
          </w:tcPr>
          <w:p>
            <w:pPr>
              <w:jc w:val="center"/>
            </w:pPr>
            <w:r>
              <w:rPr>
                <w:rFonts w:ascii="Times New Roman" w:hAnsi="Times New Roman" w:eastAsia="Times New Roman" w:cs="Times New Roman"/>
                <w:rFonts w:ascii="Times New Roman" w:hAnsi="Times New Roman"/>
                <w:b w:val="0"/>
                <w:color w:val="000000"/>
                <w:sz w:val="20"/>
              </w:rPr>
              <w:t>SARL</w:t>
            </w:r>
          </w:p>
        </w:tc>
        <w:tc>
          <w:tcPr>
            <w:tcW w:type="dxa" w:w="1568"/>
          </w:tcPr>
          <w:p>
            <w:pPr>
              <w:jc w:val="center"/>
            </w:pPr>
            <w:r>
              <w:rPr>
                <w:rFonts w:ascii="Times New Roman" w:hAnsi="Times New Roman" w:eastAsia="Times New Roman" w:cs="Times New Roman"/>
                <w:rFonts w:ascii="Times New Roman" w:hAnsi="Times New Roman"/>
                <w:b w:val="0"/>
                <w:color w:val="000000"/>
                <w:sz w:val="20"/>
              </w:rPr>
              <w:t>SARL</w:t>
            </w:r>
          </w:p>
        </w:tc>
        <w:tc>
          <w:tcPr>
            <w:tcW w:type="dxa" w:w="1568"/>
          </w:tcPr>
          <w:p>
            <w:pPr>
              <w:jc w:val="center"/>
            </w:pPr>
            <w:r>
              <w:rPr>
                <w:rFonts w:ascii="Times New Roman" w:hAnsi="Times New Roman" w:eastAsia="Times New Roman" w:cs="Times New Roman"/>
                <w:rFonts w:ascii="Times New Roman" w:hAnsi="Times New Roman"/>
                <w:b w:val="0"/>
                <w:color w:val="000000"/>
                <w:sz w:val="20"/>
              </w:rPr>
              <w:t>SARL</w:t>
            </w:r>
          </w:p>
        </w:tc>
        <w:tc>
          <w:tcPr>
            <w:tcW w:type="dxa" w:w="1568"/>
          </w:tcPr>
          <w:p>
            <w:pPr>
              <w:jc w:val="center"/>
            </w:pPr>
            <w:r>
              <w:rPr>
                <w:rFonts w:ascii="Times New Roman" w:hAnsi="Times New Roman" w:eastAsia="Times New Roman" w:cs="Times New Roman"/>
                <w:rFonts w:ascii="Times New Roman" w:hAnsi="Times New Roman"/>
                <w:b w:val="0"/>
                <w:color w:val="000000"/>
                <w:sz w:val="20"/>
              </w:rPr>
              <w:t>SARL</w:t>
            </w:r>
          </w:p>
        </w:tc>
        <w:tc>
          <w:tcPr>
            <w:tcW w:type="dxa" w:w="1568"/>
          </w:tcPr>
          <w:p>
            <w:pPr>
              <w:jc w:val="center"/>
            </w:pPr>
            <w:r>
              <w:rPr>
                <w:rFonts w:ascii="Times New Roman" w:hAnsi="Times New Roman" w:eastAsia="Times New Roman" w:cs="Times New Roman"/>
                <w:rFonts w:ascii="Times New Roman" w:hAnsi="Times New Roman"/>
                <w:b w:val="0"/>
                <w:color w:val="000000"/>
                <w:sz w:val="20"/>
              </w:rPr>
              <w:t>SA (objectif)</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Zone distribution</w:t>
            </w:r>
          </w:p>
        </w:tc>
        <w:tc>
          <w:tcPr>
            <w:tcW w:type="dxa" w:w="1568"/>
          </w:tcPr>
          <w:p>
            <w:pPr>
              <w:jc w:val="center"/>
            </w:pPr>
            <w:r>
              <w:rPr>
                <w:rFonts w:ascii="Times New Roman" w:hAnsi="Times New Roman" w:eastAsia="Times New Roman" w:cs="Times New Roman"/>
                <w:rFonts w:ascii="Times New Roman" w:hAnsi="Times New Roman"/>
                <w:b w:val="0"/>
                <w:color w:val="000000"/>
                <w:sz w:val="20"/>
              </w:rPr>
              <w:t>Kaffrine</w:t>
            </w:r>
          </w:p>
        </w:tc>
        <w:tc>
          <w:tcPr>
            <w:tcW w:type="dxa" w:w="1568"/>
          </w:tcPr>
          <w:p>
            <w:pPr>
              <w:jc w:val="center"/>
            </w:pPr>
            <w:r>
              <w:rPr>
                <w:rFonts w:ascii="Times New Roman" w:hAnsi="Times New Roman" w:eastAsia="Times New Roman" w:cs="Times New Roman"/>
                <w:rFonts w:ascii="Times New Roman" w:hAnsi="Times New Roman"/>
                <w:b w:val="0"/>
                <w:color w:val="000000"/>
                <w:sz w:val="20"/>
              </w:rPr>
              <w:t>Kaffrine + environs</w:t>
            </w:r>
          </w:p>
        </w:tc>
        <w:tc>
          <w:tcPr>
            <w:tcW w:type="dxa" w:w="1568"/>
          </w:tcPr>
          <w:p>
            <w:pPr>
              <w:jc w:val="center"/>
            </w:pPr>
            <w:r>
              <w:rPr>
                <w:rFonts w:ascii="Times New Roman" w:hAnsi="Times New Roman" w:eastAsia="Times New Roman" w:cs="Times New Roman"/>
                <w:rFonts w:ascii="Times New Roman" w:hAnsi="Times New Roman"/>
                <w:b w:val="0"/>
                <w:color w:val="000000"/>
                <w:sz w:val="20"/>
              </w:rPr>
              <w:t>Région</w:t>
            </w:r>
          </w:p>
        </w:tc>
        <w:tc>
          <w:tcPr>
            <w:tcW w:type="dxa" w:w="1568"/>
          </w:tcPr>
          <w:p>
            <w:pPr>
              <w:jc w:val="center"/>
            </w:pPr>
            <w:r>
              <w:rPr>
                <w:rFonts w:ascii="Times New Roman" w:hAnsi="Times New Roman" w:eastAsia="Times New Roman" w:cs="Times New Roman"/>
                <w:rFonts w:ascii="Times New Roman" w:hAnsi="Times New Roman"/>
                <w:b w:val="0"/>
                <w:color w:val="000000"/>
                <w:sz w:val="20"/>
              </w:rPr>
              <w:t>Régional élargi</w:t>
            </w:r>
          </w:p>
        </w:tc>
        <w:tc>
          <w:tcPr>
            <w:tcW w:type="dxa" w:w="1568"/>
          </w:tcPr>
          <w:p>
            <w:pPr>
              <w:jc w:val="center"/>
            </w:pPr>
            <w:r>
              <w:rPr>
                <w:rFonts w:ascii="Times New Roman" w:hAnsi="Times New Roman" w:eastAsia="Times New Roman" w:cs="Times New Roman"/>
                <w:rFonts w:ascii="Times New Roman" w:hAnsi="Times New Roman"/>
                <w:b w:val="0"/>
                <w:color w:val="000000"/>
                <w:sz w:val="20"/>
              </w:rPr>
              <w:t>National</w:t>
            </w:r>
          </w:p>
        </w:tc>
      </w:tr>
    </w:tbl>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III. Vision et Mission</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Vision</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Devenir une référence régionale dans la production et la transformation de produits agricoles locaux, sains et durables.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Missions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Produire des aliments de qualité, accessibles et nutritifs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Valoriser les produits locaux par la transformation artisanale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Créer de l'emploi durable pour les jeunes et les femmes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Contribuer au développement économique local et à la sécurité alimentaire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IV. Présentation des promoteurs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Tableau des promoteurs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tcPr>
          <w:p>
            <w:pPr>
              <w:jc w:val="center"/>
            </w:pPr>
            <w:r>
              <w:rPr>
                <w:rFonts w:ascii="Times New Roman" w:hAnsi="Times New Roman" w:eastAsia="Times New Roman" w:cs="Times New Roman"/>
                <w:rFonts w:ascii="Times New Roman" w:hAnsi="Times New Roman"/>
                <w:b/>
                <w:color w:val="000000"/>
                <w:sz w:val="20"/>
              </w:rPr>
              <w:t>Prénoms</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Nom</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Situation matrimoniale</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Diplômes / Formation</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Expériences</w:t>
            </w:r>
          </w:p>
        </w:tc>
      </w:tr>
      <w:tr>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Personnalité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Potentiel et facteurs déterminants : </w:t>
      </w:r>
      <w:r>
        <w:rPr>
          <w:rFonts w:ascii="Times New Roman" w:hAnsi="Times New Roman" w:eastAsia="Times New Roman" w:cs="Times New Roman"/>
          <w:rFonts w:ascii="Times New Roman" w:hAnsi="Times New Roman"/>
          <w:b/>
          <w:color w:val="FF0000"/>
          <w:sz w:val="24"/>
        </w:rPr>
        <w:t>XX</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Motivations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Autonomie financière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Création d'emplois pour les jeunes et les femmes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Développement économique local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Passion pour l'agriculture innovante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Actions correctives</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Formations en hydroponie et transformation agroalimentaire auprès de l'ISRA, de l'ANCAR et des centres de formation professionnelle.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V. Cadre juridique et fiscal</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1- Cadre juridique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Forme juridique : SARL (Société à Responsabilité Limitée)</w:t>
      </w:r>
    </w:p>
    <w:p>
      <w:pPr>
        <w:spacing w:after="120" w:before="0" w:line="360" w:lineRule="exact"/>
        <w:ind w:left="720"/>
        <w:jc w:val="both"/>
      </w:pPr>
      <w:r>
        <w:rPr>
          <w:rFonts w:ascii="Times New Roman" w:hAnsi="Times New Roman" w:eastAsia="Times New Roman" w:cs="Times New Roman"/>
          <w:rFonts w:ascii="Times New Roman" w:hAnsi="Times New Roman"/>
          <w:b w:val="0"/>
          <w:color w:val="000000"/>
          <w:sz w:val="24"/>
        </w:rPr>
        <w:t xml:space="preserve">• Dénomination sociale : </w:t>
      </w:r>
      <w:r>
        <w:rPr>
          <w:rFonts w:ascii="Times New Roman" w:hAnsi="Times New Roman" w:eastAsia="Times New Roman" w:cs="Times New Roman"/>
          <w:rFonts w:ascii="Times New Roman" w:hAnsi="Times New Roman"/>
          <w:b/>
          <w:color w:val="FF0000"/>
          <w:sz w:val="24"/>
        </w:rPr>
        <w:t>XX</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Objet social : Production, transformation et commercialisation de produits agroalimentaires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Siège social : Kaffrine, Sénégal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Durée : 99 ans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Capital social : 3 900 000 FCFA</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Gouvernance : Gérant(s) + Assemblée Générale des associés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Frais de notaire estimés : ~ 300 000 FCFA</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2- Cadre fiscal</w:t>
      </w:r>
    </w:p>
    <w:p>
      <w:pPr>
        <w:spacing w:after="120" w:before="0" w:line="360" w:lineRule="exact"/>
        <w:jc w:val="both"/>
      </w:pPr>
      <w:r>
        <w:rPr>
          <w:rFonts w:ascii="Times New Roman" w:hAnsi="Times New Roman" w:eastAsia="Times New Roman" w:cs="Times New Roman"/>
          <w:rFonts w:ascii="Times New Roman" w:hAnsi="Times New Roman"/>
          <w:b w:val="0"/>
          <w:color w:val="000000"/>
          <w:sz w:val="24"/>
        </w:rPr>
        <w:t>En tant que SARL, l'entreprise est soumise aux obligations fiscales suivantes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Impôt / Taxe</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Base / Taux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Impôt sur les Sociétés (IS)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30 % du résultat fiscal</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Patente</w:t>
            </w:r>
          </w:p>
        </w:tc>
        <w:tc>
          <w:tcPr>
            <w:tcW w:type="dxa" w:w="4703"/>
          </w:tcPr>
          <w:p>
            <w:pPr>
              <w:jc w:val="center"/>
            </w:pPr>
            <w:r>
              <w:rPr>
                <w:rFonts w:ascii="Times New Roman" w:hAnsi="Times New Roman" w:eastAsia="Times New Roman" w:cs="Times New Roman"/>
                <w:rFonts w:ascii="Times New Roman" w:hAnsi="Times New Roman"/>
                <w:b w:val="0"/>
                <w:color w:val="000000"/>
                <w:sz w:val="20"/>
              </w:rPr>
              <w:t>Variable selon le CA</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TVA</w:t>
            </w:r>
          </w:p>
        </w:tc>
        <w:tc>
          <w:tcPr>
            <w:tcW w:type="dxa" w:w="4703"/>
          </w:tcPr>
          <w:p>
            <w:pPr>
              <w:jc w:val="center"/>
            </w:pPr>
            <w:r>
              <w:rPr>
                <w:rFonts w:ascii="Times New Roman" w:hAnsi="Times New Roman" w:eastAsia="Times New Roman" w:cs="Times New Roman"/>
                <w:rFonts w:ascii="Times New Roman" w:hAnsi="Times New Roman"/>
                <w:b w:val="0"/>
                <w:color w:val="000000"/>
                <w:sz w:val="20"/>
              </w:rPr>
              <w:t>18 %</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CFCE (Contribution Forfaitaire à la Charge de l'Employeur)</w:t>
            </w:r>
          </w:p>
        </w:tc>
        <w:tc>
          <w:tcPr>
            <w:tcW w:type="dxa" w:w="4703"/>
          </w:tcPr>
          <w:p>
            <w:pPr>
              <w:jc w:val="center"/>
            </w:pPr>
            <w:r>
              <w:rPr>
                <w:rFonts w:ascii="Times New Roman" w:hAnsi="Times New Roman" w:eastAsia="Times New Roman" w:cs="Times New Roman"/>
                <w:rFonts w:ascii="Times New Roman" w:hAnsi="Times New Roman"/>
                <w:b w:val="0"/>
                <w:color w:val="000000"/>
                <w:sz w:val="20"/>
              </w:rPr>
              <w:t>3 % de la masse salariale</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IMF (Impôt Minimum Forfaitaire)</w:t>
            </w:r>
          </w:p>
        </w:tc>
        <w:tc>
          <w:tcPr>
            <w:tcW w:type="dxa" w:w="4703"/>
          </w:tcPr>
          <w:p>
            <w:pPr>
              <w:jc w:val="center"/>
            </w:pPr>
            <w:r>
              <w:rPr>
                <w:rFonts w:ascii="Times New Roman" w:hAnsi="Times New Roman" w:eastAsia="Times New Roman" w:cs="Times New Roman"/>
                <w:rFonts w:ascii="Times New Roman" w:hAnsi="Times New Roman"/>
                <w:b w:val="0"/>
                <w:color w:val="000000"/>
                <w:sz w:val="20"/>
              </w:rPr>
              <w:t>0,5 % du CA (minimum 500 000 FCFA)</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Droit d'enregistrement du bail</w:t>
            </w:r>
          </w:p>
        </w:tc>
        <w:tc>
          <w:tcPr>
            <w:tcW w:type="dxa" w:w="4703"/>
          </w:tcPr>
          <w:p>
            <w:pPr>
              <w:jc w:val="center"/>
            </w:pPr>
            <w:r>
              <w:rPr>
                <w:rFonts w:ascii="Times New Roman" w:hAnsi="Times New Roman" w:eastAsia="Times New Roman" w:cs="Times New Roman"/>
                <w:rFonts w:ascii="Times New Roman" w:hAnsi="Times New Roman"/>
                <w:b w:val="0"/>
                <w:color w:val="000000"/>
                <w:sz w:val="20"/>
              </w:rPr>
              <w:t>Selon le montant du bail</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Justification du choix de la SARL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Responsabilité limitée aux apports des associés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Accès facilité aux financements bancaires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Gouvernance adaptée aux PME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Possibilité de transition vers SA en phase de croissance</w:t>
      </w:r>
    </w:p>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2ème PARTIE : L'ÉTUDE DU MARCHÉ</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 Analyse du marché</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1- Analyse de la demande</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Cible : </w:t>
      </w:r>
      <w:r>
        <w:rPr>
          <w:rFonts w:ascii="Times New Roman" w:hAnsi="Times New Roman" w:eastAsia="Times New Roman" w:cs="Times New Roman"/>
          <w:rFonts w:ascii="Times New Roman" w:hAnsi="Times New Roman"/>
          <w:b w:val="0"/>
          <w:color w:val="000000"/>
          <w:sz w:val="24"/>
        </w:rPr>
        <w:t>Ménages, restaurants, hôtels, cantines scolaires, boutiques alimentaires.</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Zone ciblée : </w:t>
      </w:r>
      <w:r>
        <w:rPr>
          <w:rFonts w:ascii="Times New Roman" w:hAnsi="Times New Roman" w:eastAsia="Times New Roman" w:cs="Times New Roman"/>
          <w:rFonts w:ascii="Times New Roman" w:hAnsi="Times New Roman"/>
          <w:b w:val="0"/>
          <w:color w:val="000000"/>
          <w:sz w:val="24"/>
        </w:rPr>
        <w:t>Kaffrine et communes environnantes (~600 000 habitants pour la région).</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Typologie de la demande : </w:t>
      </w:r>
      <w:r>
        <w:rPr>
          <w:rFonts w:ascii="Times New Roman" w:hAnsi="Times New Roman" w:eastAsia="Times New Roman" w:cs="Times New Roman"/>
          <w:rFonts w:ascii="Times New Roman" w:hAnsi="Times New Roman"/>
          <w:b w:val="0"/>
          <w:color w:val="000000"/>
          <w:sz w:val="24"/>
        </w:rPr>
        <w:t>Demande primaire (produits frais) + demande complémentaire (produits transformés).</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Taille du marché : </w:t>
      </w:r>
      <w:r>
        <w:rPr>
          <w:rFonts w:ascii="Times New Roman" w:hAnsi="Times New Roman" w:eastAsia="Times New Roman" w:cs="Times New Roman"/>
          <w:rFonts w:ascii="Times New Roman" w:hAnsi="Times New Roman"/>
          <w:b w:val="0"/>
          <w:color w:val="000000"/>
          <w:sz w:val="24"/>
        </w:rPr>
        <w:t>Croissance de 5 à 8 % par an dans le secteur agroalimentaire au Sénégal. La région de Kaffrine est sous-desservie en produits frais et transformés de qualité.</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a) Comportement du consommateur</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Attentes : produits frais, de qualité, à prix abordable, sans produits chimiques, disponibles toute l'année.</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Fréquence d'achat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Volume moyen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Budget moyen : </w:t>
      </w:r>
      <w:r>
        <w:rPr>
          <w:rFonts w:ascii="Times New Roman" w:hAnsi="Times New Roman" w:eastAsia="Times New Roman" w:cs="Times New Roman"/>
          <w:rFonts w:ascii="Times New Roman" w:hAnsi="Times New Roman"/>
          <w:b/>
          <w:color w:val="FF0000"/>
          <w:sz w:val="24"/>
        </w:rPr>
        <w:t>XX</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Enquête terrain</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Méthode : </w:t>
      </w:r>
      <w:r>
        <w:rPr>
          <w:rFonts w:ascii="Times New Roman" w:hAnsi="Times New Roman" w:eastAsia="Times New Roman" w:cs="Times New Roman"/>
          <w:rFonts w:ascii="Times New Roman" w:hAnsi="Times New Roman"/>
          <w:b w:val="0"/>
          <w:color w:val="000000"/>
          <w:sz w:val="24"/>
        </w:rPr>
        <w:t>Échantillonnage aléatoire stratifié.</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Taille de l'échantillon : </w:t>
      </w:r>
      <w:r>
        <w:rPr>
          <w:rFonts w:ascii="Times New Roman" w:hAnsi="Times New Roman" w:eastAsia="Times New Roman" w:cs="Times New Roman"/>
          <w:rFonts w:ascii="Times New Roman" w:hAnsi="Times New Roman"/>
          <w:b/>
          <w:color w:val="FF0000"/>
          <w:sz w:val="24"/>
        </w:rPr>
        <w:t>XX</w:t>
      </w:r>
      <w:r>
        <w:rPr>
          <w:rFonts w:ascii="Times New Roman" w:hAnsi="Times New Roman" w:eastAsia="Times New Roman" w:cs="Times New Roman"/>
          <w:rFonts w:ascii="Times New Roman" w:hAnsi="Times New Roman"/>
          <w:b w:val="0"/>
          <w:color w:val="000000"/>
          <w:sz w:val="24"/>
        </w:rPr>
        <w:t xml:space="preserve"> personnes (minimum 100 recommandé).</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Le questionnaire d'enquête est présenté en Annexe 1.</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b) Analyse des données de l'enquête</w:t>
      </w:r>
    </w:p>
    <w:p>
      <w:pPr>
        <w:spacing w:after="120" w:before="0" w:line="360" w:lineRule="exact"/>
        <w:jc w:val="both"/>
      </w:pPr>
      <w:r>
        <w:rPr>
          <w:rFonts w:ascii="Times New Roman" w:hAnsi="Times New Roman" w:eastAsia="Times New Roman" w:cs="Times New Roman"/>
          <w:rFonts w:ascii="Times New Roman" w:hAnsi="Times New Roman"/>
          <w:b/>
          <w:color w:val="FF0000"/>
          <w:sz w:val="24"/>
        </w:rPr>
        <w:t>XX — Résultats à compléter après enquête terrain.</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Diagramme 1 — Fréquence d'achat de légumes frais : </w:t>
      </w:r>
      <w:r>
        <w:rPr>
          <w:rFonts w:ascii="Times New Roman" w:hAnsi="Times New Roman" w:eastAsia="Times New Roman" w:cs="Times New Roman"/>
          <w:rFonts w:ascii="Times New Roman" w:hAnsi="Times New Roman"/>
          <w:b/>
          <w:color w:val="FF0000"/>
          <w:sz w:val="24"/>
        </w:rPr>
        <w:t>XX (insérer diagramme)</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Diagramme 2 — Budget hebdomadaire en légumes : </w:t>
      </w:r>
      <w:r>
        <w:rPr>
          <w:rFonts w:ascii="Times New Roman" w:hAnsi="Times New Roman" w:eastAsia="Times New Roman" w:cs="Times New Roman"/>
          <w:rFonts w:ascii="Times New Roman" w:hAnsi="Times New Roman"/>
          <w:b/>
          <w:color w:val="FF0000"/>
          <w:sz w:val="24"/>
        </w:rPr>
        <w:t>XX (insérer diagramme)</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Diagramme 3 — Intérêt pour les produits sous serre : </w:t>
      </w:r>
      <w:r>
        <w:rPr>
          <w:rFonts w:ascii="Times New Roman" w:hAnsi="Times New Roman" w:eastAsia="Times New Roman" w:cs="Times New Roman"/>
          <w:rFonts w:ascii="Times New Roman" w:hAnsi="Times New Roman"/>
          <w:b/>
          <w:color w:val="FF0000"/>
          <w:sz w:val="24"/>
        </w:rPr>
        <w:t>XX (insérer diagramme)</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Diagramme 4 — Prix acceptable pour un jus naturel local 33cl : </w:t>
      </w:r>
      <w:r>
        <w:rPr>
          <w:rFonts w:ascii="Times New Roman" w:hAnsi="Times New Roman" w:eastAsia="Times New Roman" w:cs="Times New Roman"/>
          <w:rFonts w:ascii="Times New Roman" w:hAnsi="Times New Roman"/>
          <w:b/>
          <w:color w:val="FF0000"/>
          <w:sz w:val="24"/>
        </w:rPr>
        <w:t>XX (insérer diagramme)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2- Analyse de l'offre</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Concurrents directs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Concurrents indirects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Tableau comparatif des 4P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tcPr>
          <w:p>
            <w:pPr>
              <w:jc w:val="center"/>
            </w:pPr>
            <w:r>
              <w:rPr>
                <w:rFonts w:ascii="Times New Roman" w:hAnsi="Times New Roman" w:eastAsia="Times New Roman" w:cs="Times New Roman"/>
                <w:rFonts w:ascii="Times New Roman" w:hAnsi="Times New Roman"/>
                <w:b/>
                <w:color w:val="000000"/>
                <w:sz w:val="20"/>
              </w:rPr>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Place</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Produits</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Prix</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Promotion</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Concurrents directs</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Concurrents indirects</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Notre positionnement</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 Analyse de l'environnement</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Analyse PESTEL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Facteur</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Éléments clés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Politique</w:t>
            </w:r>
          </w:p>
        </w:tc>
        <w:tc>
          <w:tcPr>
            <w:tcW w:type="dxa" w:w="4703"/>
          </w:tcPr>
          <w:p>
            <w:pPr>
              <w:jc w:val="center"/>
            </w:pPr>
            <w:r>
              <w:rPr>
                <w:rFonts w:ascii="Times New Roman" w:hAnsi="Times New Roman" w:eastAsia="Times New Roman" w:cs="Times New Roman"/>
                <w:rFonts w:ascii="Times New Roman" w:hAnsi="Times New Roman"/>
                <w:b w:val="0"/>
                <w:color w:val="000000"/>
                <w:sz w:val="20"/>
              </w:rPr>
              <w:t>Stabilité politique ; PSE (Plan Sénégal Émergent) ; PRACAS ; PNASAR ; DER/FJ ; FONGIP</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Économique</w:t>
            </w:r>
          </w:p>
        </w:tc>
        <w:tc>
          <w:tcPr>
            <w:tcW w:type="dxa" w:w="4703"/>
          </w:tcPr>
          <w:p>
            <w:pPr>
              <w:jc w:val="center"/>
            </w:pPr>
            <w:r>
              <w:rPr>
                <w:rFonts w:ascii="Times New Roman" w:hAnsi="Times New Roman" w:eastAsia="Times New Roman" w:cs="Times New Roman"/>
                <w:rFonts w:ascii="Times New Roman" w:hAnsi="Times New Roman"/>
                <w:b w:val="0"/>
                <w:color w:val="000000"/>
                <w:sz w:val="20"/>
              </w:rPr>
              <w:t>PIB +6-9 % ; inflation &lt;3 % ; taux directeur BCEAO 3,25 % ; PME = 51 % crédits UEMOA ; pouvoir d'achat limité en zone rurale</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Social</w:t>
            </w:r>
          </w:p>
        </w:tc>
        <w:tc>
          <w:tcPr>
            <w:tcW w:type="dxa" w:w="4703"/>
          </w:tcPr>
          <w:p>
            <w:pPr>
              <w:jc w:val="center"/>
            </w:pPr>
            <w:r>
              <w:rPr>
                <w:rFonts w:ascii="Times New Roman" w:hAnsi="Times New Roman" w:eastAsia="Times New Roman" w:cs="Times New Roman"/>
                <w:rFonts w:ascii="Times New Roman" w:hAnsi="Times New Roman"/>
                <w:b w:val="0"/>
                <w:color w:val="000000"/>
                <w:sz w:val="20"/>
              </w:rPr>
              <w:t>Population jeune (60 % &lt; 25 ans) ; urbanisation croissante ; conscience nutritionnelle ; chômage des jeunes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Technologique</w:t>
            </w:r>
          </w:p>
        </w:tc>
        <w:tc>
          <w:tcPr>
            <w:tcW w:type="dxa" w:w="4703"/>
          </w:tcPr>
          <w:p>
            <w:pPr>
              <w:jc w:val="center"/>
            </w:pPr>
            <w:r>
              <w:rPr>
                <w:rFonts w:ascii="Times New Roman" w:hAnsi="Times New Roman" w:eastAsia="Times New Roman" w:cs="Times New Roman"/>
                <w:rFonts w:ascii="Times New Roman" w:hAnsi="Times New Roman"/>
                <w:b w:val="0"/>
                <w:color w:val="000000"/>
                <w:sz w:val="20"/>
              </w:rPr>
              <w:t>Technologies agricoles innovantes ; énergie solaire ; digitalisation (mobile money, réseaux sociaux)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Environnemental</w:t>
            </w:r>
          </w:p>
        </w:tc>
        <w:tc>
          <w:tcPr>
            <w:tcW w:type="dxa" w:w="4703"/>
          </w:tcPr>
          <w:p>
            <w:pPr>
              <w:jc w:val="center"/>
            </w:pPr>
            <w:r>
              <w:rPr>
                <w:rFonts w:ascii="Times New Roman" w:hAnsi="Times New Roman" w:eastAsia="Times New Roman" w:cs="Times New Roman"/>
                <w:rFonts w:ascii="Times New Roman" w:hAnsi="Times New Roman"/>
                <w:b w:val="0"/>
                <w:color w:val="000000"/>
                <w:sz w:val="20"/>
              </w:rPr>
              <w:t>Changement climatique ; stress hydrique ; hydroponie = -90 % eau ; gestion des déchets organiques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Légal</w:t>
            </w:r>
          </w:p>
        </w:tc>
        <w:tc>
          <w:tcPr>
            <w:tcW w:type="dxa" w:w="4703"/>
          </w:tcPr>
          <w:p>
            <w:pPr>
              <w:jc w:val="center"/>
            </w:pPr>
            <w:r>
              <w:rPr>
                <w:rFonts w:ascii="Times New Roman" w:hAnsi="Times New Roman" w:eastAsia="Times New Roman" w:cs="Times New Roman"/>
                <w:rFonts w:ascii="Times New Roman" w:hAnsi="Times New Roman"/>
                <w:b w:val="0"/>
                <w:color w:val="000000"/>
                <w:sz w:val="20"/>
              </w:rPr>
              <w:t>OHADA ; CGI Sénégal ; normes sanitaires ; autorisation de mise sur le marché ; convention collective</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Analyse SWOT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FORCES</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FAIBLESSES</w:t>
            </w:r>
          </w:p>
        </w:tc>
      </w:tr>
      <w:tr>
        <w:tc>
          <w:tcPr>
            <w:tcW w:type="dxa" w:w="4703"/>
          </w:tcPr>
          <w:p>
            <w:r>
              <w:rPr>
                <w:rFonts w:ascii="Times New Roman" w:hAnsi="Times New Roman" w:eastAsia="Times New Roman" w:cs="Times New Roman"/>
                <w:rFonts w:ascii="Times New Roman" w:hAnsi="Times New Roman"/>
                <w:b w:val="0"/>
                <w:color w:val="000000"/>
                <w:sz w:val="20"/>
              </w:rPr>
              <w:t>• Innovation hydroponie</w:t>
              <w:br/>
              <w:t>• Double activité (production + transformation)</w:t>
              <w:br/>
              <w:t>• Économie d'eau (90 %)</w:t>
              <w:br/>
              <w:t>• Production annuelle continue</w:t>
              <w:br/>
              <w:t>• Marque locale</w:t>
            </w:r>
          </w:p>
        </w:tc>
        <w:tc>
          <w:tcPr>
            <w:tcW w:type="dxa" w:w="4703"/>
          </w:tcPr>
          <w:p>
            <w:r>
              <w:rPr>
                <w:rFonts w:ascii="Times New Roman" w:hAnsi="Times New Roman" w:eastAsia="Times New Roman" w:cs="Times New Roman"/>
                <w:rFonts w:ascii="Times New Roman" w:hAnsi="Times New Roman"/>
                <w:b w:val="0"/>
                <w:color w:val="000000"/>
                <w:sz w:val="20"/>
              </w:rPr>
              <w:t>• Investissement élevé (13 M FCFA)</w:t>
              <w:br/>
              <w:t>• Dépendance à l'électricité</w:t>
              <w:br/>
              <w:t>• Formation technique nécessaire</w:t>
              <w:br/>
              <w:t>• Faible notoriété initiale</w:t>
            </w:r>
          </w:p>
        </w:tc>
      </w:tr>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OPPORTUNITÉS</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MENACES</w:t>
            </w:r>
          </w:p>
        </w:tc>
      </w:tr>
      <w:tr>
        <w:tc>
          <w:tcPr>
            <w:tcW w:type="dxa" w:w="4703"/>
          </w:tcPr>
          <w:p>
            <w:r>
              <w:rPr>
                <w:rFonts w:ascii="Times New Roman" w:hAnsi="Times New Roman" w:eastAsia="Times New Roman" w:cs="Times New Roman"/>
                <w:rFonts w:ascii="Times New Roman" w:hAnsi="Times New Roman"/>
                <w:b w:val="0"/>
                <w:color w:val="000000"/>
                <w:sz w:val="20"/>
              </w:rPr>
              <w:t>• Demande croissante en produits sains</w:t>
              <w:br/>
              <w:t>• Faible concurrence structurée</w:t>
              <w:br/>
              <w:t>• Soutien étatique (DER, FONGIP)</w:t>
              <w:br/>
              <w:t>• Expansion régionale et nationale possible</w:t>
            </w:r>
          </w:p>
        </w:tc>
        <w:tc>
          <w:tcPr>
            <w:tcW w:type="dxa" w:w="4703"/>
          </w:tcPr>
          <w:p>
            <w:r>
              <w:rPr>
                <w:rFonts w:ascii="Times New Roman" w:hAnsi="Times New Roman" w:eastAsia="Times New Roman" w:cs="Times New Roman"/>
                <w:rFonts w:ascii="Times New Roman" w:hAnsi="Times New Roman"/>
                <w:b w:val="0"/>
                <w:color w:val="000000"/>
                <w:sz w:val="20"/>
              </w:rPr>
              <w:t>• Pouvoir d'achat limité</w:t>
              <w:br/>
              <w:t>• Coupures d'électricité fréquentes</w:t>
              <w:br/>
              <w:t>• Concurrence des produits importés</w:t>
              <w:br/>
              <w:t>• Chaleur extrême</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III. Business Model Canvas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Bloc</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Contenu</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Partenaires clés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ISRA, ANCAR, fournisseurs intrants, banques/IMF, collectivités locales, distributeurs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Activités clés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Production hydroponique sous serre ; transformation artisanale ; commercialisation ; marketing</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Ressources clés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Serres, système hydroponique, unité de transformation, personnel qualifié, fonds de roulement</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Proposition de valeur</w:t>
            </w:r>
          </w:p>
        </w:tc>
        <w:tc>
          <w:tcPr>
            <w:tcW w:type="dxa" w:w="4703"/>
          </w:tcPr>
          <w:p>
            <w:pPr>
              <w:jc w:val="center"/>
            </w:pPr>
            <w:r>
              <w:rPr>
                <w:rFonts w:ascii="Times New Roman" w:hAnsi="Times New Roman" w:eastAsia="Times New Roman" w:cs="Times New Roman"/>
                <w:rFonts w:ascii="Times New Roman" w:hAnsi="Times New Roman"/>
                <w:b w:val="0"/>
                <w:color w:val="000000"/>
                <w:sz w:val="20"/>
              </w:rPr>
              <w:t>Produits frais et transformés locaux, sains, sans pesticides, disponibles toute l'année, à prix accessibles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Relations clients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Vente directe, fidélisation, service après-vente, réseaux sociaux, dégustations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Canaux de distribution</w:t>
            </w:r>
          </w:p>
        </w:tc>
        <w:tc>
          <w:tcPr>
            <w:tcW w:type="dxa" w:w="4703"/>
          </w:tcPr>
          <w:p>
            <w:pPr>
              <w:jc w:val="center"/>
            </w:pPr>
            <w:r>
              <w:rPr>
                <w:rFonts w:ascii="Times New Roman" w:hAnsi="Times New Roman" w:eastAsia="Times New Roman" w:cs="Times New Roman"/>
                <w:rFonts w:ascii="Times New Roman" w:hAnsi="Times New Roman"/>
                <w:b w:val="0"/>
                <w:color w:val="000000"/>
                <w:sz w:val="20"/>
              </w:rPr>
              <w:t>Point de vente propre, marchés hebdomadaires, livraison restaurants/hôtels, boutiques partenaires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Segments clients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Ménages, restaurants, hôtels, cantines scolaires, boutiques alimentaires, grossistes</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Structure des coûts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Investissement initial 13 000 000 FCFA ; charges variables (intrants, emballages) ; charges fixes (salaires, loyer, énergie)</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Sources de revenus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Vente de légumes frais ; vente de produits transformés (jus, confitures, sauces, compotes, tartinades)</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IV. Prévisions des ventes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fill="D9D9D9"/>
          </w:tcPr>
          <w:p>
            <w:pPr>
              <w:jc w:val="center"/>
            </w:pPr>
            <w:r>
              <w:rPr>
                <w:rFonts w:ascii="Times New Roman" w:hAnsi="Times New Roman" w:eastAsia="Times New Roman" w:cs="Times New Roman"/>
                <w:rFonts w:ascii="Times New Roman" w:hAnsi="Times New Roman"/>
                <w:b/>
                <w:color w:val="000000"/>
                <w:sz w:val="20"/>
              </w:rPr>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1</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2</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3</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4</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5</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CA (FCFA)</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24 000 000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30 000 000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37 500 000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46 000 000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56 000 000</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Croissance</w:t>
            </w:r>
          </w:p>
        </w:tc>
        <w:tc>
          <w:tcPr>
            <w:tcW w:type="dxa" w:w="1568"/>
          </w:tcPr>
          <w:p>
            <w:pPr>
              <w:jc w:val="center"/>
            </w:pPr>
            <w:r>
              <w:rPr>
                <w:rFonts w:ascii="Times New Roman" w:hAnsi="Times New Roman" w:eastAsia="Times New Roman" w:cs="Times New Roman"/>
                <w:rFonts w:ascii="Times New Roman" w:hAnsi="Times New Roman"/>
                <w:b w:val="0"/>
                <w:color w:val="000000"/>
                <w:sz w:val="20"/>
              </w:rPr>
              <w:t>—</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+25 %</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+25 %</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+22,7 %</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+21,7 %</w:t>
            </w:r>
          </w:p>
        </w:tc>
      </w:tr>
    </w:tbl>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3ème PARTIE : ÉTUDE TECHNIQUE ET OPÉRATIONNELLE</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 Cadre technique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Processus de production hydroponique</w:t>
      </w:r>
    </w:p>
    <w:p>
      <w:pPr>
        <w:spacing w:after="120" w:before="0" w:line="360" w:lineRule="exact"/>
        <w:jc w:val="both"/>
      </w:pPr>
      <w:r>
        <w:rPr>
          <w:rFonts w:ascii="Times New Roman" w:hAnsi="Times New Roman" w:eastAsia="Times New Roman" w:cs="Times New Roman"/>
          <w:rFonts w:ascii="Times New Roman" w:hAnsi="Times New Roman"/>
          <w:b w:val="0"/>
          <w:color w:val="000000"/>
          <w:sz w:val="22"/>
        </w:rPr>
        <w:t>(1) Préparation des semis  →  (2) Transplantation dans le système hydroponique  →  (3) Gestion de la solution nutritive  →  (4) Croissance sous serre contrôlée  →  (5) Récolte  →  (6) Tri et conditionnement  →  (7) Stockage en chambre froide  →  (8) Commercialisation</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Processus de transformation</w:t>
      </w:r>
    </w:p>
    <w:p>
      <w:pPr>
        <w:spacing w:after="120" w:before="0" w:line="360" w:lineRule="exact"/>
        <w:jc w:val="both"/>
      </w:pPr>
      <w:r>
        <w:rPr>
          <w:rFonts w:ascii="Times New Roman" w:hAnsi="Times New Roman" w:eastAsia="Times New Roman" w:cs="Times New Roman"/>
          <w:rFonts w:ascii="Times New Roman" w:hAnsi="Times New Roman"/>
          <w:b w:val="0"/>
          <w:color w:val="000000"/>
          <w:sz w:val="22"/>
        </w:rPr>
        <w:t>(1) Réception et lavage des matières premières  →  (2) Épluchage et découpe  →  (3) Cuisson / Mixage / Pressage  →  (4) Ajout d'ingrédients (sucre, épices, conservateurs naturels)  →  (5) Pasteurisation  →  (6) Conditionnement (bouteilles, pots)  →  (7) Étiquetage  →  (8) Stockage  →  (9) Distribution</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Commentaire technique</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Le système hydroponique retenu est de type NFT (Nutrient Film Technique) ou goutte-à-goutte sur substrat (fibre de coco ou perlite). La solution nutritive est recyclée en circuit fermé, ce qui permet une économie d'eau de l'ordre de 90 % par rapport à l'agriculture traditionnelle.</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L'unité de transformation artisanale applique un protocole HACCP simplifié pour garantir la qualité sanitaire des produits. La pasteurisation assure une conservation de 3 à 6 mois pour les produits transformés.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 Cadre organisationnel</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Organigramme hiérarchique</w:t>
      </w:r>
    </w:p>
    <w:p>
      <w:pPr>
        <w:spacing w:after="120" w:before="0" w:line="360" w:lineRule="exact"/>
        <w:jc w:val="both"/>
      </w:pPr>
    </w:p>
    <w:p>
      <w:pPr>
        <w:spacing w:after="120" w:before="0" w:line="360" w:lineRule="exact"/>
        <w:jc w:val="center"/>
      </w:pPr>
      <w:r>
        <w:rPr>
          <w:rFonts w:ascii="Times New Roman" w:hAnsi="Times New Roman" w:eastAsia="Times New Roman" w:cs="Times New Roman"/>
          <w:rFonts w:ascii="Times New Roman" w:hAnsi="Times New Roman"/>
          <w:b/>
          <w:color w:val="000000"/>
          <w:sz w:val="22"/>
        </w:rPr>
        <w:t>Directeur Général / Gérant</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2"/>
        </w:rPr>
        <w:t>│</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2"/>
        </w:rPr>
        <w:t>┌──────────────────────┼──────────────────────┐</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0"/>
        </w:rPr>
        <w:t>│                                      │                                      │</w:t>
      </w:r>
    </w:p>
    <w:p>
      <w:pPr>
        <w:spacing w:after="120" w:before="0" w:line="360" w:lineRule="exact"/>
        <w:jc w:val="center"/>
      </w:pPr>
      <w:r>
        <w:rPr>
          <w:rFonts w:ascii="Times New Roman" w:hAnsi="Times New Roman" w:eastAsia="Times New Roman" w:cs="Times New Roman"/>
          <w:rFonts w:ascii="Times New Roman" w:hAnsi="Times New Roman"/>
          <w:b/>
          <w:color w:val="000000"/>
          <w:sz w:val="20"/>
        </w:rPr>
        <w:t>Département                    Département                    Département</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0"/>
        </w:rPr>
        <w:t>Admin &amp; Finance           Production &amp; Technique       Commercial &amp; Marketing</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0"/>
        </w:rPr>
        <w:t>│                                      │                                      │</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0"/>
        </w:rPr>
        <w:t>Agent admin.                 Ouvriers agricoles            Agent commercial</w:t>
      </w:r>
    </w:p>
    <w:p>
      <w:pPr>
        <w:spacing w:after="120" w:before="0" w:line="360" w:lineRule="exact"/>
        <w:jc w:val="center"/>
      </w:pPr>
      <w:r>
        <w:rPr>
          <w:rFonts w:ascii="Times New Roman" w:hAnsi="Times New Roman" w:eastAsia="Times New Roman" w:cs="Times New Roman"/>
          <w:rFonts w:ascii="Times New Roman" w:hAnsi="Times New Roman"/>
          <w:b w:val="0"/>
          <w:color w:val="000000"/>
          <w:sz w:val="20"/>
        </w:rPr>
        <w:t xml:space="preserve">                                  Ouvriers transformation</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Tableau des effectifs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D9D9"/>
          </w:tcPr>
          <w:p>
            <w:pPr>
              <w:jc w:val="center"/>
            </w:pPr>
            <w:r>
              <w:rPr>
                <w:rFonts w:ascii="Times New Roman" w:hAnsi="Times New Roman" w:eastAsia="Times New Roman" w:cs="Times New Roman"/>
                <w:rFonts w:ascii="Times New Roman" w:hAnsi="Times New Roman"/>
                <w:b/>
                <w:color w:val="000000"/>
                <w:sz w:val="20"/>
              </w:rPr>
              <w:t>Poste</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Nombre</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Salaire mensuel (FCFA)</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Salaire annuel (FCFA)</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Gérant / DG</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Technicien hydroponique</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Agent administratif</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Agent commercial</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Ouvriers agricoles</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Ouvriers transformation</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Total</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bl>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4ème PARTIE : ÉTUDE FINANCIÈRE</w:t>
      </w:r>
    </w:p>
    <w:p>
      <w:pPr>
        <w:spacing w:after="120" w:before="0" w:line="360" w:lineRule="exact"/>
        <w:jc w:val="both"/>
      </w:pPr>
    </w:p>
    <w:p>
      <w:pPr>
        <w:spacing w:after="120" w:before="0" w:line="360" w:lineRule="exact"/>
        <w:ind w:firstLine="720"/>
        <w:jc w:val="both"/>
      </w:pPr>
      <w:r>
        <w:rPr>
          <w:rFonts w:ascii="Times New Roman" w:hAnsi="Times New Roman" w:eastAsia="Times New Roman" w:cs="Times New Roman"/>
          <w:rFonts w:ascii="Times New Roman" w:hAnsi="Times New Roman"/>
          <w:b/>
          <w:color w:val="000000"/>
          <w:sz w:val="22"/>
        </w:rPr>
        <w:t>Note : Les chiffres présentés ci-dessous sont des estimations prévisionnelles. Les postes marqués XX sont à compléter par le(s) promoteur(s) sur la base de devis réels.</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 Investissements et coût total du projet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Désignations</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Montants (FCFA)</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Frais de constitution (notaire, RCCM, NINEA)</w:t>
            </w:r>
          </w:p>
        </w:tc>
        <w:tc>
          <w:tcPr>
            <w:tcW w:type="dxa" w:w="4703"/>
          </w:tcPr>
          <w:p>
            <w:pPr>
              <w:jc w:val="center"/>
            </w:pPr>
            <w:r>
              <w:rPr>
                <w:rFonts w:ascii="Times New Roman" w:hAnsi="Times New Roman" w:eastAsia="Times New Roman" w:cs="Times New Roman"/>
                <w:rFonts w:ascii="Times New Roman" w:hAnsi="Times New Roman"/>
                <w:b w:val="0"/>
                <w:color w:val="000000"/>
                <w:sz w:val="20"/>
              </w:rPr>
              <w:t>300 000</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Terrain + installations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Bâtiments / Serres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Machines (hydroponie, pompes, réservoirs)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Dépôt et cautionnement (SENELEC, SDE, Téléphone)</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Matériels informatiques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Matériels de télécommunication</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Matériels d'exploitation (transformation)</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Mobilier de bureau</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Matériel de transport</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Autres matériels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Sous-total immobilisations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Imprévus (15 %)</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Total investissements (I)</w:t>
            </w:r>
          </w:p>
        </w:tc>
        <w:tc>
          <w:tcPr>
            <w:tcW w:type="dxa" w:w="4703"/>
          </w:tcPr>
          <w:p>
            <w:pPr>
              <w:jc w:val="center"/>
            </w:pPr>
            <w:r>
              <w:rPr>
                <w:rFonts w:ascii="Times New Roman" w:hAnsi="Times New Roman" w:eastAsia="Times New Roman" w:cs="Times New Roman"/>
                <w:rFonts w:ascii="Times New Roman" w:hAnsi="Times New Roman"/>
                <w:b w:val="0"/>
                <w:color w:val="000000"/>
                <w:sz w:val="20"/>
              </w:rPr>
              <w:t>10 650 000</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BFR (Besoin en Fonds de Roulement — 3 mois)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2 350 000</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Coût total du projet = I + BFR</w:t>
            </w:r>
          </w:p>
        </w:tc>
        <w:tc>
          <w:tcPr>
            <w:tcW w:type="dxa" w:w="4703"/>
          </w:tcPr>
          <w:p>
            <w:pPr>
              <w:jc w:val="center"/>
            </w:pPr>
            <w:r>
              <w:rPr>
                <w:rFonts w:ascii="Times New Roman" w:hAnsi="Times New Roman" w:eastAsia="Times New Roman" w:cs="Times New Roman"/>
                <w:rFonts w:ascii="Times New Roman" w:hAnsi="Times New Roman"/>
                <w:b w:val="0"/>
                <w:color w:val="000000"/>
                <w:sz w:val="20"/>
              </w:rPr>
              <w:t>13 000 000</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 Plan de financement initial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D9D9"/>
          </w:tcPr>
          <w:p>
            <w:pPr>
              <w:jc w:val="center"/>
            </w:pPr>
            <w:r>
              <w:rPr>
                <w:rFonts w:ascii="Times New Roman" w:hAnsi="Times New Roman" w:eastAsia="Times New Roman" w:cs="Times New Roman"/>
                <w:rFonts w:ascii="Times New Roman" w:hAnsi="Times New Roman"/>
                <w:b/>
                <w:color w:val="000000"/>
                <w:sz w:val="20"/>
              </w:rPr>
              <w:t>Emplois</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Montants (FCFA)</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Ressources</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Montants (FCFA)</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Total investissements</w:t>
            </w:r>
          </w:p>
        </w:tc>
        <w:tc>
          <w:tcPr>
            <w:tcW w:type="dxa" w:w="2351"/>
          </w:tcPr>
          <w:p>
            <w:pPr>
              <w:jc w:val="center"/>
            </w:pPr>
            <w:r>
              <w:rPr>
                <w:rFonts w:ascii="Times New Roman" w:hAnsi="Times New Roman" w:eastAsia="Times New Roman" w:cs="Times New Roman"/>
                <w:rFonts w:ascii="Times New Roman" w:hAnsi="Times New Roman"/>
                <w:b w:val="0"/>
                <w:color w:val="000000"/>
                <w:sz w:val="20"/>
              </w:rPr>
              <w:t>10 650 000</w:t>
            </w:r>
          </w:p>
        </w:tc>
        <w:tc>
          <w:tcPr>
            <w:tcW w:type="dxa" w:w="2351"/>
          </w:tcPr>
          <w:p>
            <w:pPr>
              <w:jc w:val="center"/>
            </w:pPr>
            <w:r>
              <w:rPr>
                <w:rFonts w:ascii="Times New Roman" w:hAnsi="Times New Roman" w:eastAsia="Times New Roman" w:cs="Times New Roman"/>
                <w:rFonts w:ascii="Times New Roman" w:hAnsi="Times New Roman"/>
                <w:b w:val="0"/>
                <w:color w:val="000000"/>
                <w:sz w:val="20"/>
              </w:rPr>
              <w:t>Apport personnel (30 %)</w:t>
            </w:r>
          </w:p>
        </w:tc>
        <w:tc>
          <w:tcPr>
            <w:tcW w:type="dxa" w:w="2351"/>
          </w:tcPr>
          <w:p>
            <w:pPr>
              <w:jc w:val="center"/>
            </w:pPr>
            <w:r>
              <w:rPr>
                <w:rFonts w:ascii="Times New Roman" w:hAnsi="Times New Roman" w:eastAsia="Times New Roman" w:cs="Times New Roman"/>
                <w:rFonts w:ascii="Times New Roman" w:hAnsi="Times New Roman"/>
                <w:b w:val="0"/>
                <w:color w:val="000000"/>
                <w:sz w:val="20"/>
              </w:rPr>
              <w:t>3 900 000</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BFR (3 mois)</w:t>
            </w:r>
          </w:p>
        </w:tc>
        <w:tc>
          <w:tcPr>
            <w:tcW w:type="dxa" w:w="2351"/>
          </w:tcPr>
          <w:p>
            <w:pPr>
              <w:jc w:val="center"/>
            </w:pPr>
            <w:r>
              <w:rPr>
                <w:rFonts w:ascii="Times New Roman" w:hAnsi="Times New Roman" w:eastAsia="Times New Roman" w:cs="Times New Roman"/>
                <w:rFonts w:ascii="Times New Roman" w:hAnsi="Times New Roman"/>
                <w:b w:val="0"/>
                <w:color w:val="000000"/>
                <w:sz w:val="20"/>
              </w:rPr>
              <w:t>2 350 000</w:t>
            </w:r>
          </w:p>
        </w:tc>
        <w:tc>
          <w:tcPr>
            <w:tcW w:type="dxa" w:w="2351"/>
          </w:tcPr>
          <w:p>
            <w:pPr>
              <w:jc w:val="center"/>
            </w:pPr>
            <w:r>
              <w:rPr>
                <w:rFonts w:ascii="Times New Roman" w:hAnsi="Times New Roman" w:eastAsia="Times New Roman" w:cs="Times New Roman"/>
                <w:rFonts w:ascii="Times New Roman" w:hAnsi="Times New Roman"/>
                <w:b w:val="0"/>
                <w:color w:val="000000"/>
                <w:sz w:val="20"/>
              </w:rPr>
              <w:t>Emprunt bancaire (70 %)</w:t>
            </w:r>
          </w:p>
        </w:tc>
        <w:tc>
          <w:tcPr>
            <w:tcW w:type="dxa" w:w="2351"/>
          </w:tcPr>
          <w:p>
            <w:pPr>
              <w:jc w:val="center"/>
            </w:pPr>
            <w:r>
              <w:rPr>
                <w:rFonts w:ascii="Times New Roman" w:hAnsi="Times New Roman" w:eastAsia="Times New Roman" w:cs="Times New Roman"/>
                <w:rFonts w:ascii="Times New Roman" w:hAnsi="Times New Roman"/>
                <w:b w:val="0"/>
                <w:color w:val="000000"/>
                <w:sz w:val="20"/>
              </w:rPr>
              <w:t>9 100 000</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Coût total</w:t>
            </w:r>
          </w:p>
        </w:tc>
        <w:tc>
          <w:tcPr>
            <w:tcW w:type="dxa" w:w="2351"/>
          </w:tcPr>
          <w:p>
            <w:pPr>
              <w:jc w:val="center"/>
            </w:pPr>
            <w:r>
              <w:rPr>
                <w:rFonts w:ascii="Times New Roman" w:hAnsi="Times New Roman" w:eastAsia="Times New Roman" w:cs="Times New Roman"/>
                <w:rFonts w:ascii="Times New Roman" w:hAnsi="Times New Roman"/>
                <w:b w:val="0"/>
                <w:color w:val="000000"/>
                <w:sz w:val="20"/>
              </w:rPr>
              <w:t>13 000 000</w:t>
            </w:r>
          </w:p>
        </w:tc>
        <w:tc>
          <w:tcPr>
            <w:tcW w:type="dxa" w:w="2351"/>
          </w:tcPr>
          <w:p>
            <w:pPr>
              <w:jc w:val="center"/>
            </w:pPr>
            <w:r>
              <w:rPr>
                <w:rFonts w:ascii="Times New Roman" w:hAnsi="Times New Roman" w:eastAsia="Times New Roman" w:cs="Times New Roman"/>
                <w:rFonts w:ascii="Times New Roman" w:hAnsi="Times New Roman"/>
                <w:b w:val="0"/>
                <w:color w:val="000000"/>
                <w:sz w:val="20"/>
              </w:rPr>
              <w:t>Total ressources</w:t>
            </w:r>
          </w:p>
        </w:tc>
        <w:tc>
          <w:tcPr>
            <w:tcW w:type="dxa" w:w="2351"/>
          </w:tcPr>
          <w:p>
            <w:pPr>
              <w:jc w:val="center"/>
            </w:pPr>
            <w:r>
              <w:rPr>
                <w:rFonts w:ascii="Times New Roman" w:hAnsi="Times New Roman" w:eastAsia="Times New Roman" w:cs="Times New Roman"/>
                <w:rFonts w:ascii="Times New Roman" w:hAnsi="Times New Roman"/>
                <w:b w:val="0"/>
                <w:color w:val="000000"/>
                <w:sz w:val="20"/>
              </w:rPr>
              <w:t>13 000 000</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III. Tableau de remboursement de l'emprunt</w:t>
      </w:r>
    </w:p>
    <w:p>
      <w:pPr>
        <w:spacing w:after="120" w:before="0" w:line="360" w:lineRule="exact"/>
        <w:jc w:val="both"/>
      </w:pPr>
      <w:r>
        <w:rPr>
          <w:rFonts w:ascii="Times New Roman" w:hAnsi="Times New Roman" w:eastAsia="Times New Roman" w:cs="Times New Roman"/>
          <w:rFonts w:ascii="Times New Roman" w:hAnsi="Times New Roman"/>
          <w:b/>
          <w:color w:val="000000"/>
          <w:sz w:val="22"/>
        </w:rPr>
        <w:t>Montant emprunté : 9 100 000 FCFA — Taux d'intérêt : 10 % par an — Durée : 5 ans — Amortissement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tcPr>
          <w:p>
            <w:pPr>
              <w:jc w:val="center"/>
            </w:pPr>
            <w:r>
              <w:rPr>
                <w:rFonts w:ascii="Times New Roman" w:hAnsi="Times New Roman" w:eastAsia="Times New Roman" w:cs="Times New Roman"/>
                <w:rFonts w:ascii="Times New Roman" w:hAnsi="Times New Roman"/>
                <w:b/>
                <w:color w:val="000000"/>
                <w:sz w:val="20"/>
              </w:rPr>
              <w:t>Année</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Capital restant dû (début)</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Échéance principale (EP)</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Intérêts payés (IP)</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Annuité totale (EP + IP)</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1</w:t>
            </w:r>
          </w:p>
        </w:tc>
        <w:tc>
          <w:tcPr>
            <w:tcW w:type="dxa" w:w="1881"/>
          </w:tcPr>
          <w:p>
            <w:pPr>
              <w:jc w:val="center"/>
            </w:pPr>
            <w:r>
              <w:rPr>
                <w:rFonts w:ascii="Times New Roman" w:hAnsi="Times New Roman" w:eastAsia="Times New Roman" w:cs="Times New Roman"/>
                <w:rFonts w:ascii="Times New Roman" w:hAnsi="Times New Roman"/>
                <w:b w:val="0"/>
                <w:color w:val="000000"/>
                <w:sz w:val="20"/>
              </w:rPr>
              <w:t>9 100 000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910 000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2 730 000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2</w:t>
            </w:r>
          </w:p>
        </w:tc>
        <w:tc>
          <w:tcPr>
            <w:tcW w:type="dxa" w:w="1881"/>
          </w:tcPr>
          <w:p>
            <w:pPr>
              <w:jc w:val="center"/>
            </w:pPr>
            <w:r>
              <w:rPr>
                <w:rFonts w:ascii="Times New Roman" w:hAnsi="Times New Roman" w:eastAsia="Times New Roman" w:cs="Times New Roman"/>
                <w:rFonts w:ascii="Times New Roman" w:hAnsi="Times New Roman"/>
                <w:b w:val="0"/>
                <w:color w:val="000000"/>
                <w:sz w:val="20"/>
              </w:rPr>
              <w:t>7 280 000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728 000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2 548 000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3</w:t>
            </w:r>
          </w:p>
        </w:tc>
        <w:tc>
          <w:tcPr>
            <w:tcW w:type="dxa" w:w="1881"/>
          </w:tcPr>
          <w:p>
            <w:pPr>
              <w:jc w:val="center"/>
            </w:pPr>
            <w:r>
              <w:rPr>
                <w:rFonts w:ascii="Times New Roman" w:hAnsi="Times New Roman" w:eastAsia="Times New Roman" w:cs="Times New Roman"/>
                <w:rFonts w:ascii="Times New Roman" w:hAnsi="Times New Roman"/>
                <w:b w:val="0"/>
                <w:color w:val="000000"/>
                <w:sz w:val="20"/>
              </w:rPr>
              <w:t>5 460 000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546 000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2 366 000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4</w:t>
            </w:r>
          </w:p>
        </w:tc>
        <w:tc>
          <w:tcPr>
            <w:tcW w:type="dxa" w:w="1881"/>
          </w:tcPr>
          <w:p>
            <w:pPr>
              <w:jc w:val="center"/>
            </w:pPr>
            <w:r>
              <w:rPr>
                <w:rFonts w:ascii="Times New Roman" w:hAnsi="Times New Roman" w:eastAsia="Times New Roman" w:cs="Times New Roman"/>
                <w:rFonts w:ascii="Times New Roman" w:hAnsi="Times New Roman"/>
                <w:b w:val="0"/>
                <w:color w:val="000000"/>
                <w:sz w:val="20"/>
              </w:rPr>
              <w:t>3 640 000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364 000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2 184 000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5</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182 000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2 002 000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Total</w:t>
            </w:r>
          </w:p>
        </w:tc>
        <w:tc>
          <w:tcPr>
            <w:tcW w:type="dxa" w:w="1881"/>
          </w:tcPr>
          <w:p>
            <w:pPr>
              <w:jc w:val="center"/>
            </w:pPr>
            <w:r>
              <w:rPr>
                <w:rFonts w:ascii="Times New Roman" w:hAnsi="Times New Roman" w:eastAsia="Times New Roman" w:cs="Times New Roman"/>
                <w:rFonts w:ascii="Times New Roman" w:hAnsi="Times New Roman"/>
                <w:b w:val="0"/>
                <w:color w:val="000000"/>
                <w:sz w:val="20"/>
              </w:rPr>
              <w:t>—</w:t>
            </w:r>
          </w:p>
        </w:tc>
        <w:tc>
          <w:tcPr>
            <w:tcW w:type="dxa" w:w="1881"/>
          </w:tcPr>
          <w:p>
            <w:pPr>
              <w:jc w:val="center"/>
            </w:pPr>
            <w:r>
              <w:rPr>
                <w:rFonts w:ascii="Times New Roman" w:hAnsi="Times New Roman" w:eastAsia="Times New Roman" w:cs="Times New Roman"/>
                <w:rFonts w:ascii="Times New Roman" w:hAnsi="Times New Roman"/>
                <w:b w:val="0"/>
                <w:color w:val="000000"/>
                <w:sz w:val="20"/>
              </w:rPr>
              <w:t>9 100 000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2 730 000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11 830 000</w:t>
            </w:r>
          </w:p>
        </w:tc>
      </w:tr>
    </w:tbl>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IV. Amortissement des immobilisations</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2"/>
        </w:rPr>
        <w:t>Méthode retenue : amortissement linéaire. Formule : Dotation annuelle = Montant / Durée d'utilisation prévisionnelle (DUP).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D9D9"/>
          </w:tcPr>
          <w:p>
            <w:pPr>
              <w:jc w:val="center"/>
            </w:pPr>
            <w:r>
              <w:rPr>
                <w:rFonts w:ascii="Times New Roman" w:hAnsi="Times New Roman" w:eastAsia="Times New Roman" w:cs="Times New Roman"/>
                <w:rFonts w:ascii="Times New Roman" w:hAnsi="Times New Roman"/>
                <w:b/>
                <w:color w:val="000000"/>
                <w:sz w:val="20"/>
              </w:rPr>
              <w:t>Immobilisation</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Montant (FCFA)</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DUP (ans)</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Dotation annuelle (FCFA)</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Frais de constitution</w:t>
            </w:r>
          </w:p>
        </w:tc>
        <w:tc>
          <w:tcPr>
            <w:tcW w:type="dxa" w:w="2351"/>
          </w:tcPr>
          <w:p>
            <w:pPr>
              <w:jc w:val="center"/>
            </w:pPr>
            <w:r>
              <w:rPr>
                <w:rFonts w:ascii="Times New Roman" w:hAnsi="Times New Roman" w:eastAsia="Times New Roman" w:cs="Times New Roman"/>
                <w:rFonts w:ascii="Times New Roman" w:hAnsi="Times New Roman"/>
                <w:b w:val="0"/>
                <w:color w:val="000000"/>
                <w:sz w:val="20"/>
              </w:rPr>
              <w:t>300 000</w:t>
            </w:r>
          </w:p>
        </w:tc>
        <w:tc>
          <w:tcPr>
            <w:tcW w:type="dxa" w:w="2351"/>
          </w:tcPr>
          <w:p>
            <w:pPr>
              <w:jc w:val="center"/>
            </w:pPr>
            <w:r>
              <w:rPr>
                <w:rFonts w:ascii="Times New Roman" w:hAnsi="Times New Roman" w:eastAsia="Times New Roman" w:cs="Times New Roman"/>
                <w:rFonts w:ascii="Times New Roman" w:hAnsi="Times New Roman"/>
                <w:b w:val="0"/>
                <w:color w:val="000000"/>
                <w:sz w:val="20"/>
              </w:rPr>
              <w:t>5</w:t>
            </w:r>
          </w:p>
        </w:tc>
        <w:tc>
          <w:tcPr>
            <w:tcW w:type="dxa" w:w="2351"/>
          </w:tcPr>
          <w:p>
            <w:pPr>
              <w:jc w:val="center"/>
            </w:pPr>
            <w:r>
              <w:rPr>
                <w:rFonts w:ascii="Times New Roman" w:hAnsi="Times New Roman" w:eastAsia="Times New Roman" w:cs="Times New Roman"/>
                <w:rFonts w:ascii="Times New Roman" w:hAnsi="Times New Roman"/>
                <w:b w:val="0"/>
                <w:color w:val="000000"/>
                <w:sz w:val="20"/>
              </w:rPr>
              <w:t>60 000</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Terrain</w:t>
            </w:r>
          </w:p>
        </w:tc>
        <w:tc>
          <w:tcPr>
            <w:tcW w:type="dxa" w:w="2351"/>
          </w:tcPr>
          <w:p>
            <w:pPr>
              <w:jc w:val="center"/>
            </w:pPr>
            <w:r>
              <w:rPr>
                <w:rFonts w:ascii="Times New Roman" w:hAnsi="Times New Roman" w:eastAsia="Times New Roman" w:cs="Times New Roman"/>
                <w:rFonts w:ascii="Times New Roman" w:hAnsi="Times New Roman"/>
                <w:b w:val="0"/>
                <w:color w:val="000000"/>
                <w:sz w:val="20"/>
              </w:rPr>
              <w:t>Non amortissable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w:t>
            </w:r>
          </w:p>
        </w:tc>
        <w:tc>
          <w:tcPr>
            <w:tcW w:type="dxa" w:w="2351"/>
          </w:tcPr>
          <w:p>
            <w:pPr>
              <w:jc w:val="center"/>
            </w:pPr>
            <w:r>
              <w:rPr>
                <w:rFonts w:ascii="Times New Roman" w:hAnsi="Times New Roman" w:eastAsia="Times New Roman" w:cs="Times New Roman"/>
                <w:rFonts w:ascii="Times New Roman" w:hAnsi="Times New Roman"/>
                <w:b w:val="0"/>
                <w:color w:val="000000"/>
                <w:sz w:val="20"/>
              </w:rPr>
              <w:t>—</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Bâtiments / Serres</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5</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Machines (hydroponie, pompes, réservoirs)</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4</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Matériels informatiques</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3</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Matériels de télécommunication</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5</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Matériels d'exploitation (transformation)</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4</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Mobilier de bureau</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5</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Matériel de transport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val="0"/>
                <w:color w:val="000000"/>
                <w:sz w:val="20"/>
              </w:rPr>
              <w:t>5</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Total dotation annuelle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w:t>
            </w:r>
          </w:p>
        </w:tc>
        <w:tc>
          <w:tcPr>
            <w:tcW w:type="dxa" w:w="2351"/>
          </w:tcPr>
          <w:p>
            <w:pPr>
              <w:jc w:val="center"/>
            </w:pPr>
            <w:r>
              <w:rPr>
                <w:rFonts w:ascii="Times New Roman" w:hAnsi="Times New Roman" w:eastAsia="Times New Roman" w:cs="Times New Roman"/>
                <w:rFonts w:ascii="Times New Roman" w:hAnsi="Times New Roman"/>
                <w:b w:val="0"/>
                <w:color w:val="000000"/>
                <w:sz w:val="20"/>
              </w:rPr>
              <w: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0"/>
        </w:rPr>
        <w:t>Note : Calculer chaque dotation en divisant le montant de l'immobilisation par sa DUP.</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V. Compte d'exploitation prévisionnel (5 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fill="D9D9D9"/>
          </w:tcPr>
          <w:p>
            <w:pPr>
              <w:jc w:val="center"/>
            </w:pPr>
            <w:r>
              <w:rPr>
                <w:rFonts w:ascii="Times New Roman" w:hAnsi="Times New Roman" w:eastAsia="Times New Roman" w:cs="Times New Roman"/>
                <w:rFonts w:ascii="Times New Roman" w:hAnsi="Times New Roman"/>
                <w:b/>
                <w:color w:val="000000"/>
                <w:sz w:val="20"/>
              </w:rPr>
              <w:t>Postes</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1</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2</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3</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4</w:t>
            </w:r>
          </w:p>
        </w:tc>
        <w:tc>
          <w:tcPr>
            <w:tcW w:type="dxa" w:w="1568"/>
            <w:shd w:fill="D9D9D9"/>
          </w:tcPr>
          <w:p>
            <w:pPr>
              <w:jc w:val="center"/>
            </w:pPr>
            <w:r>
              <w:rPr>
                <w:rFonts w:ascii="Times New Roman" w:hAnsi="Times New Roman" w:eastAsia="Times New Roman" w:cs="Times New Roman"/>
                <w:rFonts w:ascii="Times New Roman" w:hAnsi="Times New Roman"/>
                <w:b/>
                <w:color w:val="000000"/>
                <w:sz w:val="20"/>
              </w:rPr>
              <w:t>Année 5</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Chiffre d'affaires (CA)</w:t>
            </w:r>
          </w:p>
        </w:tc>
        <w:tc>
          <w:tcPr>
            <w:tcW w:type="dxa" w:w="1568"/>
          </w:tcPr>
          <w:p>
            <w:pPr>
              <w:jc w:val="center"/>
            </w:pPr>
            <w:r>
              <w:rPr>
                <w:rFonts w:ascii="Times New Roman" w:hAnsi="Times New Roman" w:eastAsia="Times New Roman" w:cs="Times New Roman"/>
                <w:rFonts w:ascii="Times New Roman" w:hAnsi="Times New Roman"/>
                <w:b w:val="0"/>
                <w:color w:val="000000"/>
                <w:sz w:val="20"/>
              </w:rPr>
              <w:t>24 000 000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30 000 000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37 500 000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46 000 000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56 000 000</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Charges variables (CV)</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Eau</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Électricité</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Téléphone</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Carburant</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Loyer</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Assurance</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Autres charges externes</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Total charges externes (CE)</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Charges de personnel (CP)</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Valeur ajoutée (VA = CA − CV − CE)</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EBE (VA − CP)</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Dotations aux amortissements</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Résultat d'exploitation (RE = EBE − Amort.)</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Frais financiers (intérêts)</w:t>
            </w:r>
          </w:p>
        </w:tc>
        <w:tc>
          <w:tcPr>
            <w:tcW w:type="dxa" w:w="1568"/>
          </w:tcPr>
          <w:p>
            <w:pPr>
              <w:jc w:val="center"/>
            </w:pPr>
            <w:r>
              <w:rPr>
                <w:rFonts w:ascii="Times New Roman" w:hAnsi="Times New Roman" w:eastAsia="Times New Roman" w:cs="Times New Roman"/>
                <w:rFonts w:ascii="Times New Roman" w:hAnsi="Times New Roman"/>
                <w:b w:val="0"/>
                <w:color w:val="000000"/>
                <w:sz w:val="20"/>
              </w:rPr>
              <w:t>910 000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728 000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546 000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364 000</w:t>
            </w:r>
          </w:p>
        </w:tc>
        <w:tc>
          <w:tcPr>
            <w:tcW w:type="dxa" w:w="1568"/>
          </w:tcPr>
          <w:p>
            <w:pPr>
              <w:jc w:val="center"/>
            </w:pPr>
            <w:r>
              <w:rPr>
                <w:rFonts w:ascii="Times New Roman" w:hAnsi="Times New Roman" w:eastAsia="Times New Roman" w:cs="Times New Roman"/>
                <w:rFonts w:ascii="Times New Roman" w:hAnsi="Times New Roman"/>
                <w:b w:val="0"/>
                <w:color w:val="000000"/>
                <w:sz w:val="20"/>
              </w:rPr>
              <w:t>182 000</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Résultat avant impôt (RA = RE − FF)</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IS (30 % × RA)</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Résultat net (RN = RA − IS)</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568"/>
          </w:tcPr>
          <w:p>
            <w:pPr>
              <w:jc w:val="center"/>
            </w:pPr>
            <w:r>
              <w:rPr>
                <w:rFonts w:ascii="Times New Roman" w:hAnsi="Times New Roman" w:eastAsia="Times New Roman" w:cs="Times New Roman"/>
                <w:rFonts w:ascii="Times New Roman" w:hAnsi="Times New Roman"/>
                <w:b w:val="0"/>
                <w:color w:val="000000"/>
                <w:sz w:val="20"/>
              </w:rPr>
              <w:t>CAF (RN + Amort.)</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c>
          <w:tcPr>
            <w:tcW w:type="dxa" w:w="1568"/>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0"/>
        </w:rPr>
        <w:t>Formules de calcul : VA = CA − CV − CE ; EBE = VA − CP ; RE = EBE − Amortissements ; RA = RE − Frais financiers ; IS = RA × 30 % ; RN = RA − IS ; CAF = RN + Amortissements.</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VI. Valeur Actuelle Nette (VAN)</w:t>
      </w:r>
    </w:p>
    <w:p>
      <w:pPr>
        <w:spacing w:after="120" w:before="0" w:line="360" w:lineRule="exact"/>
        <w:jc w:val="both"/>
      </w:pPr>
      <w:r>
        <w:rPr>
          <w:rFonts w:ascii="Times New Roman" w:hAnsi="Times New Roman" w:eastAsia="Times New Roman" w:cs="Times New Roman"/>
          <w:rFonts w:ascii="Times New Roman" w:hAnsi="Times New Roman"/>
          <w:b/>
          <w:color w:val="000000"/>
          <w:sz w:val="22"/>
        </w:rPr>
        <w:t>Taux d'actualisation retenu : 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tcPr>
          <w:p>
            <w:pPr>
              <w:jc w:val="center"/>
            </w:pPr>
            <w:r>
              <w:rPr>
                <w:rFonts w:ascii="Times New Roman" w:hAnsi="Times New Roman" w:eastAsia="Times New Roman" w:cs="Times New Roman"/>
                <w:rFonts w:ascii="Times New Roman" w:hAnsi="Times New Roman"/>
                <w:b/>
                <w:color w:val="000000"/>
                <w:sz w:val="20"/>
              </w:rPr>
              <w:t>Année</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CAF (FCFA)</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Coefficient d'actualisation (1/(1+0,10)^n)</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CAF actualisée (FCFA)</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Cumul CAF actualisée (FCFA)</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0 (investissement)</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−13 000 000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1,0000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−13 000 000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−13 000 000</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1</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val="0"/>
                <w:color w:val="000000"/>
                <w:sz w:val="20"/>
              </w:rPr>
              <w:t>0,9091</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2</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val="0"/>
                <w:color w:val="000000"/>
                <w:sz w:val="20"/>
              </w:rPr>
              <w:t>0,8264</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3</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val="0"/>
                <w:color w:val="000000"/>
                <w:sz w:val="20"/>
              </w:rPr>
              <w:t>0,7513</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4</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val="0"/>
                <w:color w:val="000000"/>
                <w:sz w:val="20"/>
              </w:rPr>
              <w:t>0,6830</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5</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val="0"/>
                <w:color w:val="000000"/>
                <w:sz w:val="20"/>
              </w:rPr>
              <w:t>0,6209</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c>
          <w:tcPr>
            <w:tcW w:type="dxa" w:w="1881"/>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VAN = Cumul des CAF actualisées − Investissement initial = </w:t>
      </w:r>
      <w:r>
        <w:rPr>
          <w:rFonts w:ascii="Times New Roman" w:hAnsi="Times New Roman" w:eastAsia="Times New Roman" w:cs="Times New Roman"/>
          <w:rFonts w:ascii="Times New Roman" w:hAnsi="Times New Roman"/>
          <w:b/>
          <w:color w:val="FF0000"/>
          <w:sz w:val="24"/>
        </w:rPr>
        <w:t>XX</w:t>
      </w:r>
      <w:r>
        <w:rPr>
          <w:rFonts w:ascii="Times New Roman" w:hAnsi="Times New Roman" w:eastAsia="Times New Roman" w:cs="Times New Roman"/>
          <w:rFonts w:ascii="Times New Roman" w:hAnsi="Times New Roman"/>
          <w:b w:val="0"/>
          <w:color w:val="000000"/>
          <w:sz w:val="24"/>
        </w:rPr>
        <w:t xml:space="preserve"> FCFA</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Conclusion : </w:t>
      </w:r>
      <w:r>
        <w:rPr>
          <w:rFonts w:ascii="Times New Roman" w:hAnsi="Times New Roman" w:eastAsia="Times New Roman" w:cs="Times New Roman"/>
          <w:rFonts w:ascii="Times New Roman" w:hAnsi="Times New Roman"/>
          <w:b w:val="0"/>
          <w:color w:val="000000"/>
          <w:sz w:val="24"/>
        </w:rPr>
        <w:t>Si VAN &gt; 0, le projet est rentable et créateur de valeur. Si VAN &lt; 0, le projet nécessite une révision des hypothèses.</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VII. Seuil de rentabilité</w:t>
      </w:r>
    </w:p>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Chiffre d'affaires (CA) : </w:t>
      </w:r>
      <w:r>
        <w:rPr>
          <w:rFonts w:ascii="Times New Roman" w:hAnsi="Times New Roman" w:eastAsia="Times New Roman" w:cs="Times New Roman"/>
          <w:rFonts w:ascii="Times New Roman" w:hAnsi="Times New Roman"/>
          <w:b w:val="0"/>
          <w:color w:val="000000"/>
          <w:sz w:val="24"/>
        </w:rPr>
        <w:t>voir tableau compte d'exploitation.</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Charges variables (CV)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Marge sur coût variable (MCV) = CA − CV = </w:t>
      </w:r>
      <w:r>
        <w:rPr>
          <w:rFonts w:ascii="Times New Roman" w:hAnsi="Times New Roman" w:eastAsia="Times New Roman" w:cs="Times New Roman"/>
          <w:rFonts w:ascii="Times New Roman" w:hAnsi="Times New Roman"/>
          <w:b/>
          <w:color w:val="FF0000"/>
          <w:sz w:val="24"/>
        </w:rPr>
        <w:t>XX</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4"/>
        </w:rPr>
        <w:t>Charges fixes détaillées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D9D9"/>
          </w:tcPr>
          <w:p>
            <w:pPr>
              <w:jc w:val="center"/>
            </w:pPr>
            <w:r>
              <w:rPr>
                <w:rFonts w:ascii="Times New Roman" w:hAnsi="Times New Roman" w:eastAsia="Times New Roman" w:cs="Times New Roman"/>
                <w:rFonts w:ascii="Times New Roman" w:hAnsi="Times New Roman"/>
                <w:b/>
                <w:color w:val="000000"/>
                <w:sz w:val="20"/>
              </w:rPr>
              <w:t>Poste de charges fixes</w:t>
            </w:r>
          </w:p>
        </w:tc>
        <w:tc>
          <w:tcPr>
            <w:tcW w:type="dxa" w:w="4703"/>
            <w:shd w:fill="D9D9D9"/>
          </w:tcPr>
          <w:p>
            <w:pPr>
              <w:jc w:val="center"/>
            </w:pPr>
            <w:r>
              <w:rPr>
                <w:rFonts w:ascii="Times New Roman" w:hAnsi="Times New Roman" w:eastAsia="Times New Roman" w:cs="Times New Roman"/>
                <w:rFonts w:ascii="Times New Roman" w:hAnsi="Times New Roman"/>
                <w:b/>
                <w:color w:val="000000"/>
                <w:sz w:val="20"/>
              </w:rPr>
              <w:t>Montant annuel (FCFA)</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Loyer</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Salaires et charges sociales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Électricité (part fixe)</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Téléphone</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Eau (part fixe)</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Dotations aux amortissements</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Frais financiers (intérêts)</w:t>
            </w:r>
          </w:p>
        </w:tc>
        <w:tc>
          <w:tcPr>
            <w:tcW w:type="dxa" w:w="4703"/>
          </w:tcPr>
          <w:p>
            <w:pPr>
              <w:jc w:val="center"/>
            </w:pPr>
            <w:r>
              <w:rPr>
                <w:rFonts w:ascii="Times New Roman" w:hAnsi="Times New Roman" w:eastAsia="Times New Roman" w:cs="Times New Roman"/>
                <w:rFonts w:ascii="Times New Roman" w:hAnsi="Times New Roman"/>
                <w:b w:val="0"/>
                <w:color w:val="000000"/>
                <w:sz w:val="20"/>
              </w:rPr>
              <w:t>910 000</w:t>
            </w:r>
          </w:p>
        </w:tc>
      </w:tr>
      <w:tr>
        <w:tc>
          <w:tcPr>
            <w:tcW w:type="dxa" w:w="4703"/>
          </w:tcPr>
          <w:p>
            <w:pPr>
              <w:jc w:val="center"/>
            </w:pPr>
            <w:r>
              <w:rPr>
                <w:rFonts w:ascii="Times New Roman" w:hAnsi="Times New Roman" w:eastAsia="Times New Roman" w:cs="Times New Roman"/>
                <w:rFonts w:ascii="Times New Roman" w:hAnsi="Times New Roman"/>
                <w:b w:val="0"/>
                <w:color w:val="000000"/>
                <w:sz w:val="20"/>
              </w:rPr>
              <w:t>Total charges fixes (CF)</w:t>
            </w:r>
          </w:p>
        </w:tc>
        <w:tc>
          <w:tcPr>
            <w:tcW w:type="dxa" w:w="4703"/>
          </w:tcPr>
          <w:p>
            <w:pPr>
              <w:jc w:val="center"/>
            </w:pPr>
            <w:r>
              <w:rPr>
                <w:rFonts w:ascii="Times New Roman" w:hAnsi="Times New Roman" w:eastAsia="Times New Roman" w:cs="Times New Roman"/>
                <w:rFonts w:ascii="Times New Roman" w:hAnsi="Times New Roman"/>
                <w:b/>
                <w:color w:val="FF0000"/>
                <w:sz w:val="20"/>
              </w:rPr>
              <w:t>XX</w:t>
            </w:r>
          </w:p>
        </w:tc>
      </w:tr>
    </w:tbl>
    <w:p>
      <w:pPr>
        <w:spacing w:after="120" w:before="0" w:line="360" w:lineRule="exact"/>
        <w:jc w:val="both"/>
      </w:pP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Seuil de rentabilité (SR) = (CA × CF) / MCV = </w:t>
      </w:r>
      <w:r>
        <w:rPr>
          <w:rFonts w:ascii="Times New Roman" w:hAnsi="Times New Roman" w:eastAsia="Times New Roman" w:cs="Times New Roman"/>
          <w:rFonts w:ascii="Times New Roman" w:hAnsi="Times New Roman"/>
          <w:b/>
          <w:color w:val="FF0000"/>
          <w:sz w:val="24"/>
        </w:rPr>
        <w:t>XX</w:t>
      </w:r>
      <w:r>
        <w:rPr>
          <w:rFonts w:ascii="Times New Roman" w:hAnsi="Times New Roman" w:eastAsia="Times New Roman" w:cs="Times New Roman"/>
          <w:rFonts w:ascii="Times New Roman" w:hAnsi="Times New Roman"/>
          <w:b w:val="0"/>
          <w:color w:val="000000"/>
          <w:sz w:val="24"/>
        </w:rPr>
        <w:t xml:space="preserve"> FCFA</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Point mort (en fraction d'année) = SR / CA = </w:t>
      </w:r>
      <w:r>
        <w:rPr>
          <w:rFonts w:ascii="Times New Roman" w:hAnsi="Times New Roman" w:eastAsia="Times New Roman" w:cs="Times New Roman"/>
          <w:rFonts w:ascii="Times New Roman" w:hAnsi="Times New Roman"/>
          <w:b/>
          <w:color w:val="FF0000"/>
          <w:sz w:val="24"/>
        </w:rPr>
        <w:t>XX</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VIII. Plan de financement sur 5 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4"/>
        <w:gridCol w:w="1344"/>
        <w:gridCol w:w="1344"/>
        <w:gridCol w:w="1344"/>
        <w:gridCol w:w="1344"/>
        <w:gridCol w:w="1344"/>
        <w:gridCol w:w="1344"/>
      </w:tblGrid>
      <w:tr>
        <w:tc>
          <w:tcPr>
            <w:tcW w:type="dxa" w:w="1344"/>
            <w:shd w:fill="D9D9D9"/>
          </w:tcPr>
          <w:p>
            <w:pPr>
              <w:jc w:val="center"/>
            </w:pPr>
            <w:r>
              <w:rPr>
                <w:rFonts w:ascii="Times New Roman" w:hAnsi="Times New Roman" w:eastAsia="Times New Roman" w:cs="Times New Roman"/>
                <w:rFonts w:ascii="Times New Roman" w:hAnsi="Times New Roman"/>
                <w:b/>
                <w:color w:val="000000"/>
                <w:sz w:val="20"/>
              </w:rPr>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0</w:t>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1</w:t>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2</w:t>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3</w:t>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4</w:t>
            </w:r>
          </w:p>
        </w:tc>
        <w:tc>
          <w:tcPr>
            <w:tcW w:type="dxa" w:w="1344"/>
            <w:shd w:fill="D9D9D9"/>
          </w:tcPr>
          <w:p>
            <w:pPr>
              <w:jc w:val="center"/>
            </w:pPr>
            <w:r>
              <w:rPr>
                <w:rFonts w:ascii="Times New Roman" w:hAnsi="Times New Roman" w:eastAsia="Times New Roman" w:cs="Times New Roman"/>
                <w:rFonts w:ascii="Times New Roman" w:hAnsi="Times New Roman"/>
                <w:b/>
                <w:color w:val="000000"/>
                <w:sz w:val="20"/>
              </w:rPr>
              <w:t>Année 5</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RESSOURCES</w:t>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Apport personnel</w:t>
            </w:r>
          </w:p>
        </w:tc>
        <w:tc>
          <w:tcPr>
            <w:tcW w:type="dxa" w:w="1344"/>
          </w:tcPr>
          <w:p>
            <w:pPr>
              <w:jc w:val="center"/>
            </w:pPr>
            <w:r>
              <w:rPr>
                <w:rFonts w:ascii="Times New Roman" w:hAnsi="Times New Roman" w:eastAsia="Times New Roman" w:cs="Times New Roman"/>
                <w:rFonts w:ascii="Times New Roman" w:hAnsi="Times New Roman"/>
                <w:b w:val="0"/>
                <w:color w:val="000000"/>
                <w:sz w:val="20"/>
              </w:rPr>
              <w:t>3 900 000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Emprunt bancaire</w:t>
            </w:r>
          </w:p>
        </w:tc>
        <w:tc>
          <w:tcPr>
            <w:tcW w:type="dxa" w:w="1344"/>
          </w:tcPr>
          <w:p>
            <w:pPr>
              <w:jc w:val="center"/>
            </w:pPr>
            <w:r>
              <w:rPr>
                <w:rFonts w:ascii="Times New Roman" w:hAnsi="Times New Roman" w:eastAsia="Times New Roman" w:cs="Times New Roman"/>
                <w:rFonts w:ascii="Times New Roman" w:hAnsi="Times New Roman"/>
                <w:b w:val="0"/>
                <w:color w:val="000000"/>
                <w:sz w:val="20"/>
              </w:rPr>
              <w:t>9 100 000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CAF</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Subventions</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Cessions d'actifs</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Total ressources</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13 000 000</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EMPLOIS</w:t>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Investissements</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10 650 000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BFR initial</w:t>
            </w:r>
          </w:p>
        </w:tc>
        <w:tc>
          <w:tcPr>
            <w:tcW w:type="dxa" w:w="1344"/>
          </w:tcPr>
          <w:p>
            <w:pPr>
              <w:jc w:val="center"/>
            </w:pPr>
            <w:r>
              <w:rPr>
                <w:rFonts w:ascii="Times New Roman" w:hAnsi="Times New Roman" w:eastAsia="Times New Roman" w:cs="Times New Roman"/>
                <w:rFonts w:ascii="Times New Roman" w:hAnsi="Times New Roman"/>
                <w:b w:val="0"/>
                <w:color w:val="000000"/>
                <w:sz w:val="20"/>
              </w:rPr>
              <w:t>2 350 000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Variation du BFR</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Remboursement emprunt (EP)</w:t>
            </w:r>
          </w:p>
        </w:tc>
        <w:tc>
          <w:tcPr>
            <w:tcW w:type="dxa" w:w="1344"/>
          </w:tcPr>
          <w:p>
            <w:pPr>
              <w:jc w:val="center"/>
            </w:pPr>
            <w:r>
              <w:rPr>
                <w:rFonts w:ascii="Times New Roman" w:hAnsi="Times New Roman" w:eastAsia="Times New Roman" w:cs="Times New Roman"/>
                <w:rFonts w:ascii="Times New Roman" w:hAnsi="Times New Roman"/>
                <w:b w:val="0"/>
                <w:color w:val="000000"/>
                <w:sz w:val="20"/>
              </w:rPr>
              <w:t>—</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1 820 000</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1 820 000</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Total emplois</w:t>
            </w:r>
          </w:p>
        </w:tc>
        <w:tc>
          <w:tcPr>
            <w:tcW w:type="dxa" w:w="1344"/>
          </w:tcPr>
          <w:p>
            <w:pPr>
              <w:jc w:val="center"/>
            </w:pPr>
            <w:r>
              <w:rPr>
                <w:rFonts w:ascii="Times New Roman" w:hAnsi="Times New Roman" w:eastAsia="Times New Roman" w:cs="Times New Roman"/>
                <w:rFonts w:ascii="Times New Roman" w:hAnsi="Times New Roman"/>
                <w:b w:val="0"/>
                <w:color w:val="000000"/>
                <w:sz w:val="20"/>
              </w:rPr>
              <w:t>13 000 000</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c>
          <w:tcPr>
            <w:tcW w:type="dxa" w:w="1344"/>
          </w:tcPr>
          <w:p>
            <w:pPr>
              <w:jc w:val="center"/>
            </w:pPr>
            <w:r>
              <w:rPr>
                <w:rFonts w:ascii="Times New Roman" w:hAnsi="Times New Roman" w:eastAsia="Times New Roman" w:cs="Times New Roman"/>
                <w:rFonts w:ascii="Times New Roman" w:hAnsi="Times New Roman"/>
                <w:b w:val="0"/>
                <w:color w:val="000000"/>
                <w:sz w:val="20"/>
              </w:rPr>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Trésorerie nette (Ressources − Emplois)</w:t>
            </w:r>
          </w:p>
        </w:tc>
        <w:tc>
          <w:tcPr>
            <w:tcW w:type="dxa" w:w="1344"/>
          </w:tcPr>
          <w:p>
            <w:pPr>
              <w:jc w:val="center"/>
            </w:pPr>
            <w:r>
              <w:rPr>
                <w:rFonts w:ascii="Times New Roman" w:hAnsi="Times New Roman" w:eastAsia="Times New Roman" w:cs="Times New Roman"/>
                <w:rFonts w:ascii="Times New Roman" w:hAnsi="Times New Roman"/>
                <w:b w:val="0"/>
                <w:color w:val="000000"/>
                <w:sz w:val="20"/>
              </w:rPr>
              <w:t>0</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r>
        <w:tc>
          <w:tcPr>
            <w:tcW w:type="dxa" w:w="1344"/>
          </w:tcPr>
          <w:p>
            <w:pPr>
              <w:jc w:val="center"/>
            </w:pPr>
            <w:r>
              <w:rPr>
                <w:rFonts w:ascii="Times New Roman" w:hAnsi="Times New Roman" w:eastAsia="Times New Roman" w:cs="Times New Roman"/>
                <w:rFonts w:ascii="Times New Roman" w:hAnsi="Times New Roman"/>
                <w:b w:val="0"/>
                <w:color w:val="000000"/>
                <w:sz w:val="20"/>
              </w:rPr>
              <w:t>Trésorerie cumulée</w:t>
            </w:r>
          </w:p>
        </w:tc>
        <w:tc>
          <w:tcPr>
            <w:tcW w:type="dxa" w:w="1344"/>
          </w:tcPr>
          <w:p>
            <w:pPr>
              <w:jc w:val="center"/>
            </w:pPr>
            <w:r>
              <w:rPr>
                <w:rFonts w:ascii="Times New Roman" w:hAnsi="Times New Roman" w:eastAsia="Times New Roman" w:cs="Times New Roman"/>
                <w:rFonts w:ascii="Times New Roman" w:hAnsi="Times New Roman"/>
                <w:b w:val="0"/>
                <w:color w:val="000000"/>
                <w:sz w:val="20"/>
              </w:rPr>
              <w:t>0</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c>
          <w:tcPr>
            <w:tcW w:type="dxa" w:w="1344"/>
          </w:tcPr>
          <w:p>
            <w:pPr>
              <w:jc w:val="center"/>
            </w:pPr>
            <w:r>
              <w:rPr>
                <w:rFonts w:ascii="Times New Roman" w:hAnsi="Times New Roman" w:eastAsia="Times New Roman" w:cs="Times New Roman"/>
                <w:rFonts w:ascii="Times New Roman" w:hAnsi="Times New Roman"/>
                <w:b/>
                <w:color w:val="FF0000"/>
                <w:sz w:val="20"/>
              </w:rPr>
              <w:t>XX</w:t>
            </w:r>
          </w:p>
        </w:tc>
      </w:tr>
    </w:tbl>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5ème PARTIE : IMPACTS SOCIO-ÉCONOMIQUES ET GESTION DES RISQUES</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 Impact économique</w:t>
      </w:r>
    </w:p>
    <w:p>
      <w:pPr>
        <w:spacing w:after="120" w:before="0" w:line="360" w:lineRule="exact"/>
        <w:jc w:val="both"/>
      </w:pPr>
      <w:r>
        <w:rPr>
          <w:rFonts w:ascii="Times New Roman" w:hAnsi="Times New Roman" w:eastAsia="Times New Roman" w:cs="Times New Roman"/>
          <w:rFonts w:ascii="Times New Roman" w:hAnsi="Times New Roman"/>
          <w:b/>
          <w:color w:val="000000"/>
          <w:sz w:val="24"/>
        </w:rPr>
        <w:t xml:space="preserve">Masse salariale annuelle : </w:t>
      </w:r>
      <w:r>
        <w:rPr>
          <w:rFonts w:ascii="Times New Roman" w:hAnsi="Times New Roman" w:eastAsia="Times New Roman" w:cs="Times New Roman"/>
          <w:rFonts w:ascii="Times New Roman" w:hAnsi="Times New Roman"/>
          <w:b/>
          <w:color w:val="FF0000"/>
          <w:sz w:val="24"/>
        </w:rPr>
        <w:t>XX</w:t>
      </w:r>
      <w:r>
        <w:rPr>
          <w:rFonts w:ascii="Times New Roman" w:hAnsi="Times New Roman" w:eastAsia="Times New Roman" w:cs="Times New Roman"/>
          <w:rFonts w:ascii="Times New Roman" w:hAnsi="Times New Roman"/>
          <w:b w:val="0"/>
          <w:color w:val="000000"/>
          <w:sz w:val="24"/>
        </w:rPr>
        <w:t xml:space="preserve"> FCFA</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Contribution fiscale : IS, TVA, Patente, CFCE, IMF</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Achat de matières premières locales (fruits, légumes, emballages)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Chiffre d'affaires prévisionnel de 56 000 000 FCFA en année 5</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Dynamisation de la filière agroalimentaire dans la région de Kaffrine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 Impact social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Lutte contre le chômage : création de 7 à 17 emplois directs, priorité aux jeunes et aux femmes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Réduction de la pauvreté : revenus stables pour les employés et leurs familles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Sécurité alimentaire : produits frais et nutritifs disponibles toute l'année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Revalorisation sociale : promotion de l'entrepreneuriat local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Amélioration des conditions de vie : aliments sains et abordables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Formation et transfert de compétences en agriculture moderne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Promotion du rôle des femmes dans l'économie locale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III. Impact environnemental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Économie d'eau de 90 % grâce au système hydroponique en circuit fermé</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Production locale réduisant les émissions liées au transport</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Absence de pesticides chimiques (production sous serre contrôlée)</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Compostage des déchets organiques pour amendement des sols</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Préservation des sols (culture hors sol)</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Recyclage de l'eau en circuit fermé</w:t>
      </w:r>
    </w:p>
    <w:p>
      <w:pPr>
        <w:spacing w:after="40" w:line="360" w:lineRule="exact"/>
        <w:ind w:left="720" w:hanging="357"/>
        <w:jc w:val="both"/>
      </w:pPr>
      <w:r>
        <w:rPr>
          <w:rFonts w:ascii="Times New Roman" w:hAnsi="Times New Roman" w:eastAsia="Times New Roman" w:cs="Times New Roman"/>
          <w:rFonts w:ascii="Times New Roman" w:hAnsi="Times New Roman"/>
          <w:b w:val="0"/>
          <w:color w:val="000000"/>
          <w:sz w:val="24"/>
        </w:rPr>
        <w:t xml:space="preserve">• </w:t>
      </w:r>
      <w:r>
        <w:rPr>
          <w:rFonts w:ascii="Times New Roman" w:hAnsi="Times New Roman" w:eastAsia="Times New Roman" w:cs="Times New Roman"/>
          <w:rFonts w:ascii="Times New Roman" w:hAnsi="Times New Roman"/>
          <w:b w:val="0"/>
          <w:color w:val="000000"/>
          <w:sz w:val="24"/>
        </w:rPr>
        <w:t>Objectif à moyen terme : passage à l'énergie solaire</w:t>
      </w: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IV. Risques et mesures d'atténuation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tcPr>
          <w:p>
            <w:pPr>
              <w:jc w:val="center"/>
            </w:pPr>
            <w:r>
              <w:rPr>
                <w:rFonts w:ascii="Times New Roman" w:hAnsi="Times New Roman" w:eastAsia="Times New Roman" w:cs="Times New Roman"/>
                <w:rFonts w:ascii="Times New Roman" w:hAnsi="Times New Roman"/>
                <w:b/>
                <w:color w:val="000000"/>
                <w:sz w:val="20"/>
              </w:rPr>
              <w:t>N°</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Risque</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Probabilité</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Impact</w:t>
            </w:r>
          </w:p>
        </w:tc>
        <w:tc>
          <w:tcPr>
            <w:tcW w:type="dxa" w:w="1881"/>
            <w:shd w:fill="D9D9D9"/>
          </w:tcPr>
          <w:p>
            <w:pPr>
              <w:jc w:val="center"/>
            </w:pPr>
            <w:r>
              <w:rPr>
                <w:rFonts w:ascii="Times New Roman" w:hAnsi="Times New Roman" w:eastAsia="Times New Roman" w:cs="Times New Roman"/>
                <w:rFonts w:ascii="Times New Roman" w:hAnsi="Times New Roman"/>
                <w:b/>
                <w:color w:val="000000"/>
                <w:sz w:val="20"/>
              </w:rPr>
              <w:t>Mesure d'atténuation</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1</w:t>
            </w:r>
          </w:p>
        </w:tc>
        <w:tc>
          <w:tcPr>
            <w:tcW w:type="dxa" w:w="1881"/>
          </w:tcPr>
          <w:p>
            <w:pPr>
              <w:jc w:val="center"/>
            </w:pPr>
            <w:r>
              <w:rPr>
                <w:rFonts w:ascii="Times New Roman" w:hAnsi="Times New Roman" w:eastAsia="Times New Roman" w:cs="Times New Roman"/>
                <w:rFonts w:ascii="Times New Roman" w:hAnsi="Times New Roman"/>
                <w:b w:val="0"/>
                <w:color w:val="000000"/>
                <w:sz w:val="20"/>
              </w:rPr>
              <w:t>Coupures d'électricité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Groupe électrogène + transition solaire</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2</w:t>
            </w:r>
          </w:p>
        </w:tc>
        <w:tc>
          <w:tcPr>
            <w:tcW w:type="dxa" w:w="1881"/>
          </w:tcPr>
          <w:p>
            <w:pPr>
              <w:jc w:val="center"/>
            </w:pPr>
            <w:r>
              <w:rPr>
                <w:rFonts w:ascii="Times New Roman" w:hAnsi="Times New Roman" w:eastAsia="Times New Roman" w:cs="Times New Roman"/>
                <w:rFonts w:ascii="Times New Roman" w:hAnsi="Times New Roman"/>
                <w:b w:val="0"/>
                <w:color w:val="000000"/>
                <w:sz w:val="20"/>
              </w:rPr>
              <w:t>Pénurie d'eau</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Moyenne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Forage/puits + citernes + recyclage circuit fermé</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3</w:t>
            </w:r>
          </w:p>
        </w:tc>
        <w:tc>
          <w:tcPr>
            <w:tcW w:type="dxa" w:w="1881"/>
          </w:tcPr>
          <w:p>
            <w:pPr>
              <w:jc w:val="center"/>
            </w:pPr>
            <w:r>
              <w:rPr>
                <w:rFonts w:ascii="Times New Roman" w:hAnsi="Times New Roman" w:eastAsia="Times New Roman" w:cs="Times New Roman"/>
                <w:rFonts w:ascii="Times New Roman" w:hAnsi="Times New Roman"/>
                <w:b w:val="0"/>
                <w:color w:val="000000"/>
                <w:sz w:val="20"/>
              </w:rPr>
              <w:t>Panne technique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Moyenne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Formation + stock de pièces de rechange + maintenance préventive</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4</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Mévente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Faible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Diversification des canaux + politique de prix + promotion active</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5</w:t>
            </w:r>
          </w:p>
        </w:tc>
        <w:tc>
          <w:tcPr>
            <w:tcW w:type="dxa" w:w="1881"/>
          </w:tcPr>
          <w:p>
            <w:pPr>
              <w:jc w:val="center"/>
            </w:pPr>
            <w:r>
              <w:rPr>
                <w:rFonts w:ascii="Times New Roman" w:hAnsi="Times New Roman" w:eastAsia="Times New Roman" w:cs="Times New Roman"/>
                <w:rFonts w:ascii="Times New Roman" w:hAnsi="Times New Roman"/>
                <w:b w:val="0"/>
                <w:color w:val="000000"/>
                <w:sz w:val="20"/>
              </w:rPr>
              <w:t>Hausse du prix des intrants</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Moyenne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w:t>
            </w:r>
          </w:p>
        </w:tc>
        <w:tc>
          <w:tcPr>
            <w:tcW w:type="dxa" w:w="1881"/>
          </w:tcPr>
          <w:p>
            <w:pPr>
              <w:jc w:val="center"/>
            </w:pPr>
            <w:r>
              <w:rPr>
                <w:rFonts w:ascii="Times New Roman" w:hAnsi="Times New Roman" w:eastAsia="Times New Roman" w:cs="Times New Roman"/>
                <w:rFonts w:ascii="Times New Roman" w:hAnsi="Times New Roman"/>
                <w:b w:val="0"/>
                <w:color w:val="000000"/>
                <w:sz w:val="20"/>
              </w:rPr>
              <w:t>Achat groupé + contrats fournisseurs + substituts locaux</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6</w:t>
            </w:r>
          </w:p>
        </w:tc>
        <w:tc>
          <w:tcPr>
            <w:tcW w:type="dxa" w:w="1881"/>
          </w:tcPr>
          <w:p>
            <w:pPr>
              <w:jc w:val="center"/>
            </w:pPr>
            <w:r>
              <w:rPr>
                <w:rFonts w:ascii="Times New Roman" w:hAnsi="Times New Roman" w:eastAsia="Times New Roman" w:cs="Times New Roman"/>
                <w:rFonts w:ascii="Times New Roman" w:hAnsi="Times New Roman"/>
                <w:b w:val="0"/>
                <w:color w:val="000000"/>
                <w:sz w:val="20"/>
              </w:rPr>
              <w:t>Concurrence accrue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Faible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w:t>
            </w:r>
          </w:p>
        </w:tc>
        <w:tc>
          <w:tcPr>
            <w:tcW w:type="dxa" w:w="1881"/>
          </w:tcPr>
          <w:p>
            <w:pPr>
              <w:jc w:val="center"/>
            </w:pPr>
            <w:r>
              <w:rPr>
                <w:rFonts w:ascii="Times New Roman" w:hAnsi="Times New Roman" w:eastAsia="Times New Roman" w:cs="Times New Roman"/>
                <w:rFonts w:ascii="Times New Roman" w:hAnsi="Times New Roman"/>
                <w:b w:val="0"/>
                <w:color w:val="000000"/>
                <w:sz w:val="20"/>
              </w:rPr>
              <w:t>Innovation produit + fidélisation client + qualité supérieure</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7</w:t>
            </w:r>
          </w:p>
        </w:tc>
        <w:tc>
          <w:tcPr>
            <w:tcW w:type="dxa" w:w="1881"/>
          </w:tcPr>
          <w:p>
            <w:pPr>
              <w:jc w:val="center"/>
            </w:pPr>
            <w:r>
              <w:rPr>
                <w:rFonts w:ascii="Times New Roman" w:hAnsi="Times New Roman" w:eastAsia="Times New Roman" w:cs="Times New Roman"/>
                <w:rFonts w:ascii="Times New Roman" w:hAnsi="Times New Roman"/>
                <w:b w:val="0"/>
                <w:color w:val="000000"/>
                <w:sz w:val="20"/>
              </w:rPr>
              <w:t>Chaleur extrême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Moyenne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w:t>
            </w:r>
          </w:p>
        </w:tc>
        <w:tc>
          <w:tcPr>
            <w:tcW w:type="dxa" w:w="1881"/>
          </w:tcPr>
          <w:p>
            <w:pPr>
              <w:jc w:val="center"/>
            </w:pPr>
            <w:r>
              <w:rPr>
                <w:rFonts w:ascii="Times New Roman" w:hAnsi="Times New Roman" w:eastAsia="Times New Roman" w:cs="Times New Roman"/>
                <w:rFonts w:ascii="Times New Roman" w:hAnsi="Times New Roman"/>
                <w:b w:val="0"/>
                <w:color w:val="000000"/>
                <w:sz w:val="20"/>
              </w:rPr>
              <w:t>Serres ventilées + brumisation + variétés résistantes</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8</w:t>
            </w:r>
          </w:p>
        </w:tc>
        <w:tc>
          <w:tcPr>
            <w:tcW w:type="dxa" w:w="1881"/>
          </w:tcPr>
          <w:p>
            <w:pPr>
              <w:jc w:val="center"/>
            </w:pPr>
            <w:r>
              <w:rPr>
                <w:rFonts w:ascii="Times New Roman" w:hAnsi="Times New Roman" w:eastAsia="Times New Roman" w:cs="Times New Roman"/>
                <w:rFonts w:ascii="Times New Roman" w:hAnsi="Times New Roman"/>
                <w:b w:val="0"/>
                <w:color w:val="000000"/>
                <w:sz w:val="20"/>
              </w:rPr>
              <w:t>Difficultés de remboursement</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Faible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Réserve de trésorerie + gestion financière rigoureuse</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9</w:t>
            </w:r>
          </w:p>
        </w:tc>
        <w:tc>
          <w:tcPr>
            <w:tcW w:type="dxa" w:w="1881"/>
          </w:tcPr>
          <w:p>
            <w:pPr>
              <w:jc w:val="center"/>
            </w:pPr>
            <w:r>
              <w:rPr>
                <w:rFonts w:ascii="Times New Roman" w:hAnsi="Times New Roman" w:eastAsia="Times New Roman" w:cs="Times New Roman"/>
                <w:rFonts w:ascii="Times New Roman" w:hAnsi="Times New Roman"/>
                <w:b w:val="0"/>
                <w:color w:val="000000"/>
                <w:sz w:val="20"/>
              </w:rPr>
              <w:t>Risques sanitaires</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Faible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Élevé</w:t>
            </w:r>
          </w:p>
        </w:tc>
        <w:tc>
          <w:tcPr>
            <w:tcW w:type="dxa" w:w="1881"/>
          </w:tcPr>
          <w:p>
            <w:pPr>
              <w:jc w:val="center"/>
            </w:pPr>
            <w:r>
              <w:rPr>
                <w:rFonts w:ascii="Times New Roman" w:hAnsi="Times New Roman" w:eastAsia="Times New Roman" w:cs="Times New Roman"/>
                <w:rFonts w:ascii="Times New Roman" w:hAnsi="Times New Roman"/>
                <w:b w:val="0"/>
                <w:color w:val="000000"/>
                <w:sz w:val="20"/>
              </w:rPr>
              <w:t>Protocole HACCP + contrôle qualité + traçabilité</w:t>
            </w:r>
          </w:p>
        </w:tc>
      </w:tr>
      <w:tr>
        <w:tc>
          <w:tcPr>
            <w:tcW w:type="dxa" w:w="1881"/>
          </w:tcPr>
          <w:p>
            <w:pPr>
              <w:jc w:val="center"/>
            </w:pPr>
            <w:r>
              <w:rPr>
                <w:rFonts w:ascii="Times New Roman" w:hAnsi="Times New Roman" w:eastAsia="Times New Roman" w:cs="Times New Roman"/>
                <w:rFonts w:ascii="Times New Roman" w:hAnsi="Times New Roman"/>
                <w:b w:val="0"/>
                <w:color w:val="000000"/>
                <w:sz w:val="20"/>
              </w:rPr>
              <w:t>10</w:t>
            </w:r>
          </w:p>
        </w:tc>
        <w:tc>
          <w:tcPr>
            <w:tcW w:type="dxa" w:w="1881"/>
          </w:tcPr>
          <w:p>
            <w:pPr>
              <w:jc w:val="center"/>
            </w:pPr>
            <w:r>
              <w:rPr>
                <w:rFonts w:ascii="Times New Roman" w:hAnsi="Times New Roman" w:eastAsia="Times New Roman" w:cs="Times New Roman"/>
                <w:rFonts w:ascii="Times New Roman" w:hAnsi="Times New Roman"/>
                <w:b w:val="0"/>
                <w:color w:val="000000"/>
                <w:sz w:val="20"/>
              </w:rPr>
              <w:t>Non-conformité réglementaire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Faible</w:t>
            </w:r>
          </w:p>
        </w:tc>
        <w:tc>
          <w:tcPr>
            <w:tcW w:type="dxa" w:w="1881"/>
          </w:tcPr>
          <w:p>
            <w:pPr>
              <w:jc w:val="center"/>
            </w:pPr>
            <w:r>
              <w:rPr>
                <w:rFonts w:ascii="Times New Roman" w:hAnsi="Times New Roman" w:eastAsia="Times New Roman" w:cs="Times New Roman"/>
                <w:rFonts w:ascii="Times New Roman" w:hAnsi="Times New Roman"/>
                <w:b w:val="0"/>
                <w:color w:val="000000"/>
                <w:sz w:val="20"/>
              </w:rPr>
              <w:t>Moyen</w:t>
            </w:r>
          </w:p>
        </w:tc>
        <w:tc>
          <w:tcPr>
            <w:tcW w:type="dxa" w:w="1881"/>
          </w:tcPr>
          <w:p>
            <w:pPr>
              <w:jc w:val="center"/>
            </w:pPr>
            <w:r>
              <w:rPr>
                <w:rFonts w:ascii="Times New Roman" w:hAnsi="Times New Roman" w:eastAsia="Times New Roman" w:cs="Times New Roman"/>
                <w:rFonts w:ascii="Times New Roman" w:hAnsi="Times New Roman"/>
                <w:b w:val="0"/>
                <w:color w:val="000000"/>
                <w:sz w:val="20"/>
              </w:rPr>
              <w:t>Veille réglementaire + accompagnement juridique</w:t>
            </w:r>
          </w:p>
        </w:tc>
      </w:tr>
    </w:tbl>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CONCLUSION</w:t>
      </w:r>
    </w:p>
    <w:p>
      <w:pPr>
        <w:spacing w:after="120" w:before="0" w:line="360" w:lineRule="exact"/>
        <w:jc w:val="both"/>
      </w:pP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Le présent projet d'agriculture hydroponique et de transformation agroalimentaire répond à un besoin réel et croissant en produits frais et sains dans la région de Kaffrine. Avec un investissement total de 13 000 000 FCFA, le projet prévoit un chiffre d'affaires évoluant de 24 000 000 FCFA en année 1 à 56 000 000 FCFA en année 5.</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Au-delà de sa dimension économique, ce projet porte des ambitions sociales fortes : création d'emplois durables pour les jeunes et les femmes, contribution à la sécurité alimentaire, promotion d'une agriculture moderne et durable. Les risques identifiés sont maîtrisables grâce à des mesures d'atténuation concrètes.</w:t>
      </w:r>
    </w:p>
    <w:p>
      <w:pPr>
        <w:spacing w:after="120" w:before="0" w:line="360" w:lineRule="exact"/>
        <w:ind w:firstLine="720"/>
        <w:jc w:val="both"/>
      </w:pPr>
      <w:r>
        <w:rPr>
          <w:rFonts w:ascii="Times New Roman" w:hAnsi="Times New Roman" w:eastAsia="Times New Roman" w:cs="Times New Roman"/>
          <w:rFonts w:ascii="Times New Roman" w:hAnsi="Times New Roman"/>
          <w:b w:val="0"/>
          <w:color w:val="000000"/>
          <w:sz w:val="24"/>
        </w:rPr>
        <w:t>Les perspectives de développement sont prometteuses : introduction de l'aquaponie, extension des capacités de production, développement de nouveaux produits transformés et expansion vers le marché national. Ce business plan constitue une base solide pour la mobilisation des financements nécessaires à la concrétisation de ce projet.</w:t>
      </w:r>
    </w:p>
    <w:p>
      <w:r>
        <w:br w:type="page"/>
      </w:r>
    </w:p>
    <w:p>
      <w:pPr>
        <w:keepNext/>
        <w:spacing w:before="240" w:after="120" w:line="360" w:lineRule="exact"/>
        <w:jc w:val="center"/>
      </w:pPr>
      <w:r>
        <w:rPr>
          <w:rFonts w:ascii="Times New Roman" w:hAnsi="Times New Roman" w:eastAsia="Times New Roman" w:cs="Times New Roman"/>
          <w:rFonts w:ascii="Times New Roman" w:hAnsi="Times New Roman"/>
          <w:b/>
          <w:color w:val="000000"/>
          <w:sz w:val="28"/>
        </w:rPr>
        <w:t>ANNEXES</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Annexe 1 : Questionnaire d'enquête terrain</w:t>
      </w:r>
    </w:p>
    <w:p>
      <w:pPr>
        <w:spacing w:after="120" w:before="0" w:line="360" w:lineRule="exact"/>
        <w:jc w:val="both"/>
      </w:pP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1. </w:t>
      </w:r>
      <w:r>
        <w:rPr>
          <w:rFonts w:ascii="Times New Roman" w:hAnsi="Times New Roman" w:eastAsia="Times New Roman" w:cs="Times New Roman"/>
          <w:rFonts w:ascii="Times New Roman" w:hAnsi="Times New Roman"/>
          <w:b w:val="0"/>
          <w:color w:val="000000"/>
          <w:sz w:val="24"/>
        </w:rPr>
        <w:t>Achetez-vous régulièrement des légumes frais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Oui   ☐ Non</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2. </w:t>
      </w:r>
      <w:r>
        <w:rPr>
          <w:rFonts w:ascii="Times New Roman" w:hAnsi="Times New Roman" w:eastAsia="Times New Roman" w:cs="Times New Roman"/>
          <w:rFonts w:ascii="Times New Roman" w:hAnsi="Times New Roman"/>
          <w:b w:val="0"/>
          <w:color w:val="000000"/>
          <w:sz w:val="24"/>
        </w:rPr>
        <w:t>Où achetez-vous habituellement vos légumes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Marché   ☐ Boutique   ☐ Producteur   ☐ Autre</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3. </w:t>
      </w:r>
      <w:r>
        <w:rPr>
          <w:rFonts w:ascii="Times New Roman" w:hAnsi="Times New Roman" w:eastAsia="Times New Roman" w:cs="Times New Roman"/>
          <w:rFonts w:ascii="Times New Roman" w:hAnsi="Times New Roman"/>
          <w:b w:val="0"/>
          <w:color w:val="000000"/>
          <w:sz w:val="24"/>
        </w:rPr>
        <w:t>Quel est votre budget hebdomadaire en légumes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&lt; 2 000 FCFA   ☐ 2 000 – 5 000   ☐ 5 000 – 10 000   ☐ &gt; 10 000 FCFA</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4. </w:t>
      </w:r>
      <w:r>
        <w:rPr>
          <w:rFonts w:ascii="Times New Roman" w:hAnsi="Times New Roman" w:eastAsia="Times New Roman" w:cs="Times New Roman"/>
          <w:rFonts w:ascii="Times New Roman" w:hAnsi="Times New Roman"/>
          <w:b w:val="0"/>
          <w:color w:val="000000"/>
          <w:sz w:val="24"/>
        </w:rPr>
        <w:t>Seriez-vous intéressé(e) par des légumes cultivés localement sous serre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Oui   ☐ Non   ☐ Peut-être</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5. </w:t>
      </w:r>
      <w:r>
        <w:rPr>
          <w:rFonts w:ascii="Times New Roman" w:hAnsi="Times New Roman" w:eastAsia="Times New Roman" w:cs="Times New Roman"/>
          <w:rFonts w:ascii="Times New Roman" w:hAnsi="Times New Roman"/>
          <w:b w:val="0"/>
          <w:color w:val="000000"/>
          <w:sz w:val="24"/>
        </w:rPr>
        <w:t>Achetez-vous des produits transformés (jus, confitures)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Oui   ☐ Non</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6. </w:t>
      </w:r>
      <w:r>
        <w:rPr>
          <w:rFonts w:ascii="Times New Roman" w:hAnsi="Times New Roman" w:eastAsia="Times New Roman" w:cs="Times New Roman"/>
          <w:rFonts w:ascii="Times New Roman" w:hAnsi="Times New Roman"/>
          <w:b w:val="0"/>
          <w:color w:val="000000"/>
          <w:sz w:val="24"/>
        </w:rPr>
        <w:t>Quel prix accepteriez-vous pour un jus naturel local de 33 cl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&lt; 500 FCFA   ☐ 500 – 1 000   ☐ 1 000 – 1 500   ☐ &gt; 1 500 FCFA</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7. </w:t>
      </w:r>
      <w:r>
        <w:rPr>
          <w:rFonts w:ascii="Times New Roman" w:hAnsi="Times New Roman" w:eastAsia="Times New Roman" w:cs="Times New Roman"/>
          <w:rFonts w:ascii="Times New Roman" w:hAnsi="Times New Roman"/>
          <w:b w:val="0"/>
          <w:color w:val="000000"/>
          <w:sz w:val="24"/>
        </w:rPr>
        <w:t>Quels critères sont les plus importants pour vous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Prix   ☐ Qualité   ☐ Origine locale   ☐ Disponibilité</w:t>
      </w:r>
    </w:p>
    <w:p>
      <w:pPr>
        <w:spacing w:after="40" w:before="0" w:line="360" w:lineRule="exact"/>
        <w:jc w:val="both"/>
      </w:pPr>
      <w:r>
        <w:rPr>
          <w:rFonts w:ascii="Times New Roman" w:hAnsi="Times New Roman" w:eastAsia="Times New Roman" w:cs="Times New Roman"/>
          <w:rFonts w:ascii="Times New Roman" w:hAnsi="Times New Roman"/>
          <w:b/>
          <w:color w:val="000000"/>
          <w:sz w:val="24"/>
        </w:rPr>
        <w:t xml:space="preserve">8. </w:t>
      </w:r>
      <w:r>
        <w:rPr>
          <w:rFonts w:ascii="Times New Roman" w:hAnsi="Times New Roman" w:eastAsia="Times New Roman" w:cs="Times New Roman"/>
          <w:rFonts w:ascii="Times New Roman" w:hAnsi="Times New Roman"/>
          <w:b w:val="0"/>
          <w:color w:val="000000"/>
          <w:sz w:val="24"/>
        </w:rPr>
        <w:t>Connaissez-vous l'hydroponie (culture hors sol) ?</w:t>
      </w:r>
    </w:p>
    <w:p>
      <w:pPr>
        <w:spacing w:after="160" w:before="0" w:line="360" w:lineRule="exact"/>
        <w:jc w:val="both"/>
      </w:pPr>
      <w:r>
        <w:rPr>
          <w:rFonts w:ascii="Times New Roman" w:hAnsi="Times New Roman" w:eastAsia="Times New Roman" w:cs="Times New Roman"/>
          <w:rFonts w:ascii="Times New Roman" w:hAnsi="Times New Roman"/>
          <w:b w:val="0"/>
          <w:color w:val="000000"/>
          <w:sz w:val="24"/>
        </w:rPr>
        <w:t>☐ Oui   ☐ Non</w:t>
      </w:r>
    </w:p>
    <w:p>
      <w:pPr>
        <w:spacing w:after="120" w:before="0" w:line="360" w:lineRule="exact"/>
        <w:jc w:val="both"/>
      </w:pPr>
    </w:p>
    <w:p>
      <w:pPr>
        <w:keepNext/>
        <w:spacing w:before="240" w:after="120" w:line="360" w:lineRule="exact"/>
        <w:jc w:val="left"/>
      </w:pPr>
      <w:r>
        <w:rPr>
          <w:rFonts w:ascii="Times New Roman" w:hAnsi="Times New Roman" w:eastAsia="Times New Roman" w:cs="Times New Roman"/>
          <w:rFonts w:ascii="Times New Roman" w:hAnsi="Times New Roman"/>
          <w:b/>
          <w:color w:val="000000"/>
          <w:sz w:val="26"/>
        </w:rPr>
        <w:t>Annexe 2 : Tableau des produits et prix prévisionnels</w:t>
      </w:r>
    </w:p>
    <w:p>
      <w:pPr>
        <w:spacing w:after="120" w:before="0" w:line="360" w:lineRule="exact"/>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D9D9"/>
          </w:tcPr>
          <w:p>
            <w:pPr>
              <w:jc w:val="center"/>
            </w:pPr>
            <w:r>
              <w:rPr>
                <w:rFonts w:ascii="Times New Roman" w:hAnsi="Times New Roman" w:eastAsia="Times New Roman" w:cs="Times New Roman"/>
                <w:rFonts w:ascii="Times New Roman" w:hAnsi="Times New Roman"/>
                <w:b/>
                <w:color w:val="000000"/>
                <w:sz w:val="20"/>
              </w:rPr>
              <w:t>Produit</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Unité</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Prix unitaire (FCFA)</w:t>
            </w:r>
          </w:p>
        </w:tc>
        <w:tc>
          <w:tcPr>
            <w:tcW w:type="dxa" w:w="2351"/>
            <w:shd w:fill="D9D9D9"/>
          </w:tcPr>
          <w:p>
            <w:pPr>
              <w:jc w:val="center"/>
            </w:pPr>
            <w:r>
              <w:rPr>
                <w:rFonts w:ascii="Times New Roman" w:hAnsi="Times New Roman" w:eastAsia="Times New Roman" w:cs="Times New Roman"/>
                <w:rFonts w:ascii="Times New Roman" w:hAnsi="Times New Roman"/>
                <w:b/>
                <w:color w:val="000000"/>
                <w:sz w:val="20"/>
              </w:rPr>
              <w:t>Volume mensuel estimé</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Tomate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kg</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Laitue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pièce</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Poivron</w:t>
            </w:r>
          </w:p>
        </w:tc>
        <w:tc>
          <w:tcPr>
            <w:tcW w:type="dxa" w:w="2351"/>
          </w:tcPr>
          <w:p>
            <w:pPr>
              <w:jc w:val="center"/>
            </w:pPr>
            <w:r>
              <w:rPr>
                <w:rFonts w:ascii="Times New Roman" w:hAnsi="Times New Roman" w:eastAsia="Times New Roman" w:cs="Times New Roman"/>
                <w:rFonts w:ascii="Times New Roman" w:hAnsi="Times New Roman"/>
                <w:b w:val="0"/>
                <w:color w:val="000000"/>
                <w:sz w:val="20"/>
              </w:rPr>
              <w:t>kg</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Concombre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kg</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Aubergine</w:t>
            </w:r>
          </w:p>
        </w:tc>
        <w:tc>
          <w:tcPr>
            <w:tcW w:type="dxa" w:w="2351"/>
          </w:tcPr>
          <w:p>
            <w:pPr>
              <w:jc w:val="center"/>
            </w:pPr>
            <w:r>
              <w:rPr>
                <w:rFonts w:ascii="Times New Roman" w:hAnsi="Times New Roman" w:eastAsia="Times New Roman" w:cs="Times New Roman"/>
                <w:rFonts w:ascii="Times New Roman" w:hAnsi="Times New Roman"/>
                <w:b w:val="0"/>
                <w:color w:val="000000"/>
                <w:sz w:val="20"/>
              </w:rPr>
              <w:t>kg</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Jus de fruit (33 cl)</w:t>
            </w:r>
          </w:p>
        </w:tc>
        <w:tc>
          <w:tcPr>
            <w:tcW w:type="dxa" w:w="2351"/>
          </w:tcPr>
          <w:p>
            <w:pPr>
              <w:jc w:val="center"/>
            </w:pPr>
            <w:r>
              <w:rPr>
                <w:rFonts w:ascii="Times New Roman" w:hAnsi="Times New Roman" w:eastAsia="Times New Roman" w:cs="Times New Roman"/>
                <w:rFonts w:ascii="Times New Roman" w:hAnsi="Times New Roman"/>
                <w:b w:val="0"/>
                <w:color w:val="000000"/>
                <w:sz w:val="20"/>
              </w:rPr>
              <w:t>bouteille</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Confiture (250 g)</w:t>
            </w:r>
          </w:p>
        </w:tc>
        <w:tc>
          <w:tcPr>
            <w:tcW w:type="dxa" w:w="2351"/>
          </w:tcPr>
          <w:p>
            <w:pPr>
              <w:jc w:val="center"/>
            </w:pPr>
            <w:r>
              <w:rPr>
                <w:rFonts w:ascii="Times New Roman" w:hAnsi="Times New Roman" w:eastAsia="Times New Roman" w:cs="Times New Roman"/>
                <w:rFonts w:ascii="Times New Roman" w:hAnsi="Times New Roman"/>
                <w:b w:val="0"/>
                <w:color w:val="000000"/>
                <w:sz w:val="20"/>
              </w:rPr>
              <w:t>pot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Sauce tomate (500 ml)</w:t>
            </w:r>
          </w:p>
        </w:tc>
        <w:tc>
          <w:tcPr>
            <w:tcW w:type="dxa" w:w="2351"/>
          </w:tcPr>
          <w:p>
            <w:pPr>
              <w:jc w:val="center"/>
            </w:pPr>
            <w:r>
              <w:rPr>
                <w:rFonts w:ascii="Times New Roman" w:hAnsi="Times New Roman" w:eastAsia="Times New Roman" w:cs="Times New Roman"/>
                <w:rFonts w:ascii="Times New Roman" w:hAnsi="Times New Roman"/>
                <w:b w:val="0"/>
                <w:color w:val="000000"/>
                <w:sz w:val="20"/>
              </w:rPr>
              <w:t>bouteille</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Compote (250 g)</w:t>
            </w:r>
          </w:p>
        </w:tc>
        <w:tc>
          <w:tcPr>
            <w:tcW w:type="dxa" w:w="2351"/>
          </w:tcPr>
          <w:p>
            <w:pPr>
              <w:jc w:val="center"/>
            </w:pPr>
            <w:r>
              <w:rPr>
                <w:rFonts w:ascii="Times New Roman" w:hAnsi="Times New Roman" w:eastAsia="Times New Roman" w:cs="Times New Roman"/>
                <w:rFonts w:ascii="Times New Roman" w:hAnsi="Times New Roman"/>
                <w:b w:val="0"/>
                <w:color w:val="000000"/>
                <w:sz w:val="20"/>
              </w:rPr>
              <w:t>pot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r>
        <w:tc>
          <w:tcPr>
            <w:tcW w:type="dxa" w:w="2351"/>
          </w:tcPr>
          <w:p>
            <w:pPr>
              <w:jc w:val="center"/>
            </w:pPr>
            <w:r>
              <w:rPr>
                <w:rFonts w:ascii="Times New Roman" w:hAnsi="Times New Roman" w:eastAsia="Times New Roman" w:cs="Times New Roman"/>
                <w:rFonts w:ascii="Times New Roman" w:hAnsi="Times New Roman"/>
                <w:b w:val="0"/>
                <w:color w:val="000000"/>
                <w:sz w:val="20"/>
              </w:rPr>
              <w:t>Tartinade (200 g)</w:t>
            </w:r>
          </w:p>
        </w:tc>
        <w:tc>
          <w:tcPr>
            <w:tcW w:type="dxa" w:w="2351"/>
          </w:tcPr>
          <w:p>
            <w:pPr>
              <w:jc w:val="center"/>
            </w:pPr>
            <w:r>
              <w:rPr>
                <w:rFonts w:ascii="Times New Roman" w:hAnsi="Times New Roman" w:eastAsia="Times New Roman" w:cs="Times New Roman"/>
                <w:rFonts w:ascii="Times New Roman" w:hAnsi="Times New Roman"/>
                <w:b w:val="0"/>
                <w:color w:val="000000"/>
                <w:sz w:val="20"/>
              </w:rPr>
              <w:t>pot</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c>
          <w:tcPr>
            <w:tcW w:type="dxa" w:w="2351"/>
          </w:tcPr>
          <w:p>
            <w:pPr>
              <w:jc w:val="center"/>
            </w:pPr>
            <w:r>
              <w:rPr>
                <w:rFonts w:ascii="Times New Roman" w:hAnsi="Times New Roman" w:eastAsia="Times New Roman" w:cs="Times New Roman"/>
                <w:rFonts w:ascii="Times New Roman" w:hAnsi="Times New Roman"/>
                <w:b/>
                <w:color w:val="FF0000"/>
                <w:sz w:val="20"/>
              </w:rPr>
              <w:t>XX</w:t>
            </w:r>
          </w:p>
        </w:tc>
      </w:tr>
    </w:tbl>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eastAsia="Times New Roman" w:cs="Times New Roman"/>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