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0"/>
      </w:pPr>
      <w:r>
        <w:rPr>
          <w:rFonts w:ascii="Calibri" w:hAnsi="Calibri"/>
          <w:b/>
          <w:color w:val="087F6B"/>
          <w:sz w:val="20"/>
        </w:rPr>
        <w:t>GUÍA DE CONTINUIDAD</w:t>
      </w:r>
    </w:p>
    <w:p>
      <w:pPr>
        <w:spacing w:before="40" w:after="140"/>
      </w:pPr>
      <w:r>
        <w:rPr>
          <w:rFonts w:ascii="Calibri" w:hAnsi="Calibri"/>
          <w:b/>
          <w:color w:val="17324D"/>
          <w:sz w:val="60"/>
        </w:rPr>
        <w:t>QB Insumos</w:t>
      </w:r>
    </w:p>
    <w:p>
      <w:pPr>
        <w:spacing w:after="360"/>
      </w:pPr>
      <w:r>
        <w:rPr>
          <w:rFonts w:ascii="Calibri" w:hAnsi="Calibri"/>
          <w:color w:val="667085"/>
          <w:sz w:val="28"/>
        </w:rPr>
        <w:t>Estado actual, decisiones vigentes y ruta para migrar el flujo del cliente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67085"/>
                <w:sz w:val="16"/>
              </w:rPr>
              <w:t>PREPARADO PARA</w:t>
              <w:br/>
            </w:r>
            <w:r>
              <w:rPr>
                <w:rFonts w:ascii="Calibri" w:hAnsi="Calibri"/>
                <w:b/>
                <w:color w:val="17202A"/>
                <w:sz w:val="21"/>
              </w:rPr>
              <w:t>Continuidad del proyecto y validación con cliente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67085"/>
                <w:sz w:val="16"/>
              </w:rPr>
              <w:t>FECHA DE CORTE</w:t>
              <w:br/>
            </w:r>
            <w:r>
              <w:rPr>
                <w:rFonts w:ascii="Calibri" w:hAnsi="Calibri"/>
                <w:b/>
                <w:color w:val="17202A"/>
                <w:sz w:val="21"/>
              </w:rPr>
              <w:t>24 de julio de 2026 · respuestas incorporadas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67085"/>
                <w:sz w:val="16"/>
              </w:rPr>
              <w:t>SISTEMA</w:t>
              <w:br/>
            </w:r>
            <w:r>
              <w:rPr>
                <w:rFonts w:ascii="Calibri" w:hAnsi="Calibri"/>
                <w:b/>
                <w:color w:val="17202A"/>
                <w:sz w:val="21"/>
              </w:rPr>
              <w:t>qb-insumos.vercel.app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67085"/>
                <w:sz w:val="16"/>
              </w:rPr>
              <w:t>BASE REVISADA</w:t>
              <w:br/>
            </w:r>
            <w:r>
              <w:rPr>
                <w:rFonts w:ascii="Calibri" w:hAnsi="Calibri"/>
                <w:b/>
                <w:color w:val="17202A"/>
                <w:sz w:val="21"/>
              </w:rPr>
              <w:t>f210f7df · catálogo y colores del Excel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087F6B"/>
          <w:sz w:val="18"/>
        </w:rPr>
        <w:t>DECISIÓN RECTORA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3"/>
          </w:tcPr>
          <w:p>
            <w:pPr>
              <w:spacing w:after="0"/>
            </w:pPr>
            <w:r>
              <w:rPr>
                <w:rFonts w:ascii="Calibri" w:hAnsi="Calibri"/>
                <w:color w:val="17202A"/>
                <w:sz w:val="22"/>
              </w:rPr>
              <w:t>Primero replicar la hoja antigua con CANT | CHECK | OBSERVACIÓN. La simplificación es visual: los datos operativos y la auditoría siguen separados internamente.</w:t>
            </w:r>
          </w:p>
        </w:tc>
      </w:tr>
    </w:tbl>
    <w:p>
      <w:pPr>
        <w:pStyle w:val="Heading1"/>
      </w:pPr>
      <w:r>
        <w:t>1. Resumen ejecutivo</w:t>
      </w:r>
    </w:p>
    <w:p>
      <w:r>
        <w:rPr>
          <w:rFonts w:ascii="Calibri" w:hAnsi="Calibri"/>
          <w:color w:val="17202A"/>
          <w:sz w:val="22"/>
        </w:rPr>
        <w:t>El cliente está dispuesto a migrar, pero su modelo mental y el de su personal es una hoja de cálculo. La prioridad no es añadir más módulos: es hacer que la operación diaria se reconozca como la tabla que ya usan, conservando las ventajas del sistema —usuarios separados, permisos, trazabilidad, cálculos y una sola fuente de datos—.</w:t>
      </w:r>
    </w:p>
    <w:p>
      <w:r>
        <w:t>La arquitectura principal ya está adelantada: existen los roles Administrador, Inventario y Entregador; la matriz operativa continua; la separación interna entre solicitado, preparado, externo y entregado; cantidades reales; observaciones; auditoría y recibos. La réplica visual de la hoja antigua con CANT | CHECK | OBSERVACIÓN por cliente, el incremento temporal de 0,5, la reapertura operativa auditada y el recibo externo mínimo ya están implementados. La brecha principal queda en arrobas variables por carga, carga masiva tipo Excel y validación humana.</w:t>
      </w:r>
    </w:p>
    <w:p>
      <w:r>
        <w:rPr>
          <w:rFonts w:ascii="Calibri" w:hAnsi="Calibri"/>
          <w:b/>
          <w:color w:val="17202A"/>
          <w:sz w:val="22"/>
        </w:rPr>
        <w:t>Recomendación:</w:t>
      </w:r>
      <w:r>
        <w:rPr>
          <w:rFonts w:ascii="Calibri" w:hAnsi="Calibri"/>
          <w:color w:val="17202A"/>
          <w:sz w:val="22"/>
        </w:rPr>
        <w:t xml:space="preserve"> usar una sola plataforma. La interfaz puede parecer una hoja de cálculo sin depender de Google Sheets. Mantener dos plataformas produciría duplicidad, conflictos de sincronización, problemas de permisos y una auditoría incompleta.</w:t>
      </w:r>
    </w:p>
    <w:p>
      <w:pPr>
        <w:pStyle w:val="Heading1"/>
      </w:pPr>
      <w:r>
        <w:t>2. Fuentes y jerarquía de decisiones</w:t>
      </w:r>
    </w:p>
    <w:p>
      <w:r>
        <w:rPr>
          <w:rFonts w:ascii="Calibri" w:hAnsi="Calibri"/>
          <w:color w:val="17202A"/>
          <w:sz w:val="22"/>
        </w:rPr>
        <w:t>En caso de contradicción, usar este orden: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7202A"/>
          <w:sz w:val="22"/>
        </w:rPr>
        <w:t>Decisión explícita del cliente registrada con fecha y captura.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7202A"/>
          <w:sz w:val="22"/>
        </w:rPr>
        <w:t>Criterio de aceptación escrito y aprobado para la fase.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7202A"/>
          <w:sz w:val="22"/>
        </w:rPr>
        <w:t>Flujo observado en la hoja actual.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7202A"/>
          <w:sz w:val="22"/>
        </w:rPr>
        <w:t>Notas de reunión interpretativas.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7202A"/>
          <w:sz w:val="22"/>
        </w:rPr>
        <w:t>Preferencia técnica o estética del equipo.</w:t>
      </w:r>
    </w:p>
    <w:p>
      <w:r>
        <w:rPr>
          <w:rFonts w:ascii="Calibri" w:hAnsi="Calibri"/>
          <w:color w:val="17202A"/>
          <w:sz w:val="22"/>
        </w:rPr>
        <w:t>Las capturas son evidencia del comportamiento familiar, no una especificación completa de reglas de negocio. Antes de cambiar columnas, cálculos o responsabilidades debe actualizarse el registro de decisiones de este documento.</w:t>
      </w:r>
    </w:p>
    <w:p>
      <w:pPr>
        <w:pStyle w:val="Heading1"/>
      </w:pPr>
      <w:r>
        <w:t>3. Contexto operativo confirmado</w:t>
      </w:r>
    </w:p>
    <w:p>
      <w:pPr>
        <w:pStyle w:val="Heading2"/>
      </w:pPr>
      <w:r>
        <w:t>Administrador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Es el cliente dueño de la operación.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Crea o corrige pedidos, asigna el orden de clientes y supervisa el día.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Debe poder saber quién cambió una cantidad, un check o una observación.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Revisa diferencias, emite y comparte el recibo digital.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Puede corregir o reabrir procesos con motivo, sin borrar el historial.</w:t>
      </w:r>
    </w:p>
    <w:p>
      <w:pPr>
        <w:pStyle w:val="Heading2"/>
      </w:pPr>
      <w:r>
        <w:t>Inventario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Prepara únicamente lo disponible en bodega.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Registra cantidades preparadas, faltantes, check y observaciones.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Puede finalizar con preparación completa, parcial o en cero.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Su trabajo genera una copia/snapshot que recibe el Entregador.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No debe alterar la entrega real.</w:t>
      </w:r>
    </w:p>
    <w:p>
      <w:pPr>
        <w:pStyle w:val="Heading2"/>
      </w:pPr>
      <w:r>
        <w:t>Entregador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Trabaja con su propia cuenta.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Recibe lo preparado en bodega y puede completar faltantes con producto externo o fresco.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Registra la cantidad exacta entregada, aunque sea mayor o menor que la solicitada.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Marca el check final y deja una observación cuando existe diferencia.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No debe poder modificar lo que Inventario registró ni esconder su autoría.</w:t>
      </w:r>
    </w:p>
    <w:p>
      <w:pPr>
        <w:pStyle w:val="Heading1"/>
      </w:pPr>
      <w:r>
        <w:t>4. Flujo objetivo de extremo a extremo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17202A"/>
          <w:sz w:val="22"/>
        </w:rPr>
        <w:t>Catálogo e inventario.</w:t>
      </w:r>
      <w:r>
        <w:rPr>
          <w:rFonts w:ascii="Calibri" w:hAnsi="Calibri"/>
          <w:color w:val="17202A"/>
          <w:sz w:val="22"/>
        </w:rPr>
        <w:t xml:space="preserve"> El Administrador crea/configura productos, colores, unidades, presentaciones, conversiones y precios. Los ingresos de mercadería deben poder cargarse en una tabla masiva.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17202A"/>
          <w:sz w:val="22"/>
        </w:rPr>
        <w:t>Pedido.</w:t>
      </w:r>
      <w:r>
        <w:rPr>
          <w:rFonts w:ascii="Calibri" w:hAnsi="Calibri"/>
          <w:color w:val="17202A"/>
          <w:sz w:val="22"/>
        </w:rPr>
        <w:t xml:space="preserve"> Se elige cliente y ubicación. El histórico ayuda a repetir el producto y la unidad exactos, pero el nuevo pedido sigue siendo editable.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17202A"/>
          <w:sz w:val="22"/>
        </w:rPr>
        <w:t>Matriz diaria.</w:t>
      </w:r>
      <w:r>
        <w:rPr>
          <w:rFonts w:ascii="Calibri" w:hAnsi="Calibri"/>
          <w:color w:val="17202A"/>
          <w:sz w:val="22"/>
        </w:rPr>
        <w:t xml:space="preserve"> Una sola cuadrícula muestra categorías y productos en filas, clientes hacia la derecha y totales al extremo derecho.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17202A"/>
          <w:sz w:val="22"/>
        </w:rPr>
        <w:t>Preparación.</w:t>
      </w:r>
      <w:r>
        <w:rPr>
          <w:rFonts w:ascii="Calibri" w:hAnsi="Calibri"/>
          <w:color w:val="17202A"/>
          <w:sz w:val="22"/>
        </w:rPr>
        <w:t xml:space="preserve"> En la superficie tipo Excel, Inventario usa </w:t>
      </w:r>
      <w:r>
        <w:rPr>
          <w:rFonts w:ascii="Consolas" w:hAnsi="Consolas"/>
          <w:color w:val="1F4D78"/>
          <w:sz w:val="21"/>
        </w:rPr>
        <w:t>CANT | CHECK | OBSERVACIÓN</w:t>
      </w:r>
      <w:r>
        <w:rPr>
          <w:rFonts w:ascii="Calibri" w:hAnsi="Calibri"/>
          <w:color w:val="17202A"/>
          <w:sz w:val="22"/>
        </w:rPr>
        <w:t xml:space="preserve">; en esta etapa </w:t>
      </w:r>
      <w:r>
        <w:rPr>
          <w:rFonts w:ascii="Consolas" w:hAnsi="Consolas"/>
          <w:color w:val="1F4D78"/>
          <w:sz w:val="21"/>
        </w:rPr>
        <w:t>CANT</w:t>
      </w:r>
      <w:r>
        <w:rPr>
          <w:rFonts w:ascii="Calibri" w:hAnsi="Calibri"/>
          <w:color w:val="17202A"/>
          <w:sz w:val="22"/>
        </w:rPr>
        <w:t xml:space="preserve"> representa lo preparado en bodega.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17202A"/>
          <w:sz w:val="22"/>
        </w:rPr>
        <w:t>Entrega.</w:t>
      </w:r>
      <w:r>
        <w:rPr>
          <w:rFonts w:ascii="Calibri" w:hAnsi="Calibri"/>
          <w:color w:val="17202A"/>
          <w:sz w:val="22"/>
        </w:rPr>
        <w:t xml:space="preserve"> Entregador parte del snapshot de bodega y trabaja en una réplica visual </w:t>
      </w:r>
      <w:r>
        <w:rPr>
          <w:rFonts w:ascii="Consolas" w:hAnsi="Consolas"/>
          <w:color w:val="1F4D78"/>
          <w:sz w:val="21"/>
        </w:rPr>
        <w:t>CANT | CHECK | OBSERVACIÓN</w:t>
      </w:r>
      <w:r>
        <w:rPr>
          <w:rFonts w:ascii="Calibri" w:hAnsi="Calibri"/>
          <w:color w:val="17202A"/>
          <w:sz w:val="22"/>
        </w:rPr>
        <w:t xml:space="preserve">; en esta etapa </w:t>
      </w:r>
      <w:r>
        <w:rPr>
          <w:rFonts w:ascii="Consolas" w:hAnsi="Consolas"/>
          <w:color w:val="1F4D78"/>
          <w:sz w:val="21"/>
        </w:rPr>
        <w:t>CANT</w:t>
      </w:r>
      <w:r>
        <w:rPr>
          <w:rFonts w:ascii="Calibri" w:hAnsi="Calibri"/>
          <w:color w:val="17202A"/>
          <w:sz w:val="22"/>
        </w:rPr>
        <w:t xml:space="preserve"> representa la cantidad realmente entregada. La separación de solicitado, preparado, externo y entregado debe conservarse internamente para trazabilidad, aunque no se exponga como siete columnas.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17202A"/>
          <w:sz w:val="22"/>
        </w:rPr>
        <w:t>Validación.</w:t>
      </w:r>
      <w:r>
        <w:rPr>
          <w:rFonts w:ascii="Calibri" w:hAnsi="Calibri"/>
          <w:color w:val="17202A"/>
          <w:sz w:val="22"/>
        </w:rPr>
        <w:t xml:space="preserve"> El sistema compara solicitado, preparado, externo y entregado; muestra completo o con diferencia sin depender solo del color.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17202A"/>
          <w:sz w:val="22"/>
        </w:rPr>
        <w:t>Recibo.</w:t>
      </w:r>
      <w:r>
        <w:rPr>
          <w:rFonts w:ascii="Calibri" w:hAnsi="Calibri"/>
          <w:color w:val="17202A"/>
          <w:sz w:val="22"/>
        </w:rPr>
        <w:t xml:space="preserve"> El Administrador revisa cantidades reales, completa precios si corresponde, emite y comparte el comprobante digital.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17202A"/>
          <w:sz w:val="22"/>
        </w:rPr>
        <w:t>Historial y auditoría.</w:t>
      </w:r>
      <w:r>
        <w:rPr>
          <w:rFonts w:ascii="Calibri" w:hAnsi="Calibri"/>
          <w:color w:val="17202A"/>
          <w:sz w:val="22"/>
        </w:rPr>
        <w:t xml:space="preserve"> Pedidos, movimientos, recibos y cambios quedan consultables por fecha, cliente, producto y actor.</w:t>
      </w:r>
    </w:p>
    <w:p>
      <w:pPr>
        <w:pStyle w:val="Heading1"/>
      </w:pPr>
      <w:r>
        <w:t>5. Contrato visual de la matriz</w:t>
      </w:r>
    </w:p>
    <w:p>
      <w:r>
        <w:rPr>
          <w:rFonts w:ascii="Calibri" w:hAnsi="Calibri"/>
          <w:color w:val="17202A"/>
          <w:sz w:val="22"/>
        </w:rPr>
        <w:t>Este contrato debe preservarse hasta que el cliente apruebe por escrito una modificación: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Una sola matriz continua, reconociblemente similar a Google Sheets.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Todos los clientes simultáneamente hacia la derecha.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Scroll horizontal táctil también a 390 px.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Ningún selector móvil obligatorio ni renderizado de un solo cliente.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N°</w:t>
      </w:r>
      <w:r>
        <w:rPr>
          <w:rFonts w:ascii="Calibri" w:hAnsi="Calibri"/>
          <w:color w:val="17202A"/>
          <w:sz w:val="22"/>
        </w:rPr>
        <w:t xml:space="preserve">, </w:t>
      </w:r>
      <w:r>
        <w:rPr>
          <w:rFonts w:ascii="Consolas" w:hAnsi="Consolas"/>
          <w:color w:val="1F4D78"/>
          <w:sz w:val="21"/>
        </w:rPr>
        <w:t>DESCRIPCIÓN</w:t>
      </w:r>
      <w:r>
        <w:rPr>
          <w:rFonts w:ascii="Calibri" w:hAnsi="Calibri"/>
          <w:color w:val="17202A"/>
          <w:sz w:val="22"/>
        </w:rPr>
        <w:t xml:space="preserve"> y </w:t>
      </w:r>
      <w:r>
        <w:rPr>
          <w:rFonts w:ascii="Consolas" w:hAnsi="Consolas"/>
          <w:color w:val="1F4D78"/>
          <w:sz w:val="21"/>
        </w:rPr>
        <w:t>UD</w:t>
      </w:r>
      <w:r>
        <w:rPr>
          <w:rFonts w:ascii="Calibri" w:hAnsi="Calibri"/>
          <w:color w:val="17202A"/>
          <w:sz w:val="22"/>
        </w:rPr>
        <w:t xml:space="preserve"> sticky.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Cabeceras sticky durante el scroll vertical.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Categorías como filas separadoras y numeración visible.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Productos y clientes nunca convertidos en cards verticales.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El cliente enfocado solo puede recibir auto-scroll y resaltado; no puede ocultar otros clientes.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Totales al extremo derecho de la misma cuadrícula.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Color aplicado a la fila completa del producto, incluidas sus celdas operativas.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 xml:space="preserve">Por ahora, cada grupo de cliente debe mostrar solamente </w:t>
      </w:r>
      <w:r>
        <w:rPr>
          <w:rFonts w:ascii="Consolas" w:hAnsi="Consolas"/>
          <w:color w:val="1F4D78"/>
          <w:sz w:val="21"/>
        </w:rPr>
        <w:t>CANT | CHECK | OBSERVACIÓN</w:t>
      </w:r>
      <w:r>
        <w:rPr>
          <w:rFonts w:ascii="Calibri" w:hAnsi="Calibri"/>
          <w:color w:val="17202A"/>
          <w:sz w:val="22"/>
        </w:rPr>
        <w:t>, igual que la hoja antigua.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No añadir columnas visibles de preparado, externo, entregado o peso real hasta una fase posterior expresamente aprobada.</w:t>
      </w:r>
    </w:p>
    <w:p>
      <w:pPr>
        <w:pStyle w:val="Heading1"/>
      </w:pPr>
      <w:r>
        <w:t>6. Estado actual frente a las notas</w:t>
      </w:r>
    </w:p>
    <w:p>
      <w:pPr>
        <w:pStyle w:val="Heading2"/>
      </w:pPr>
      <w:r>
        <w:t>Consolidado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880"/>
        <w:gridCol w:w="6480"/>
      </w:tblGrid>
      <w:tr>
        <w:trPr>
          <w:tblHeader w:val="true"/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/>
                <w:b/>
                <w:color w:val="17324D"/>
                <w:sz w:val="19"/>
              </w:rPr>
              <w:t>Necesidad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/>
                <w:b/>
                <w:color w:val="17324D"/>
                <w:sz w:val="19"/>
              </w:rPr>
              <w:t>Estado y evidencia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Roles separados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Implementados Administrador, Inventario y Entregador, con rutas y permisos distintos.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Matriz tipo hoja de cálculo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Implementada como tabla continua en escritorio y móvil, con todos los clientes, overflow horizontal, columnas y cabeceras sticky.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Preparación parcial o en cero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Implementada; Inventario puede registrar faltantes y finalizar tras revisar las líneas.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Entrega real mayor o menor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Implementada; la diferencia exige observación y no altera silenciosamente lo solicitado.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Producto externo/fresco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Implementado como cantidad externa separada del stock de bodega.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Autoría y conflictos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Implementadas auditoría transaccional, versiones, idempotencia y avisos de cambios remotos.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Orden de clientes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El Administrador puede ordenar clientes por fecha; se conserva en la operación diaria.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Histórico para repetir pedido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“Repetir último pedido” carga producto y unidad exactos y deja las líneas editables.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Recibo basado en entrega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Los recibos nuevos toman la cantidad realmente entregada. La exportación de cliente oculta el código interno y enumera productos.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Catálogo y colores del Excel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Importados 159 productos de la hoja de referencia: 81 coincidencias actualizadas y 78 productos nuevos, sin eliminar el catálogo previo.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Color editable al crear producto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Disponible en alta y edición; la matriz usa el color guardado del producto.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Réplica visual de tres columnas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Implementada con CANT | CHECK | OBSERVACIÓN por cliente en todas las etapas, sin eliminar la trazabilidad interna.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Incremento temporal de 0,5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Aplicado a productos vendibles y unidades permitidas para pedido; los pedidos por importe en Bs mantienen precisión monetaria.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Reapertura operativa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Administrador, Inventario y Entregador pueden reabrir sin límite temporal, con motivo, auditoría y bloqueo por recibo emitido.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Recibo externo mínimo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Limitado a logo/marca, cliente, fecha de entrega, productos, cantidad, precio final y total.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Parcial o pendiente de aceptación humana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872"/>
        <w:gridCol w:w="5616"/>
        <w:gridCol w:w="1872"/>
      </w:tblGrid>
      <w:tr>
        <w:trPr>
          <w:tblHeader w:val="true"/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/>
                <w:b/>
                <w:color w:val="17324D"/>
                <w:sz w:val="18"/>
              </w:rPr>
              <w:t>Necesidad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/>
                <w:b/>
                <w:color w:val="17324D"/>
                <w:sz w:val="18"/>
              </w:rPr>
              <w:t>Situación actual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/>
                <w:b/>
                <w:color w:val="17324D"/>
                <w:sz w:val="18"/>
              </w:rPr>
              <w:t>Cierre requerido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Borde más resaltado en “Nuevo pedido”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Existe contenedor con borde, pero la nota es visual y no tiene medida objetiva.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Comparar con captura y aprobar en escritorio/móvil.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Arrobas por carga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Existen presentaciones y conversiones, incluida “Carga”, pero el factor no puede ser fijo.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En cada ingreso por carga, pedir manualmente cuántas arrobas llegaron y calcular desde ese dato los pesos/porcentajes necesarios.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Numeración a la izquierda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Está en la matriz y en el recibo; no es visible como columna en la captura del formulario de nuevo pedido.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Confirmar si también se exige en ese formulario.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Sumas verde/rojo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Hay estados, diferencias, totales, texto e iconos.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Validar si el cliente exige colorear celdas/filas completas con una regla exacta.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Peso real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Existe una representación en la matriz operativa, pero la semántica final recién fue definida.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 xml:space="preserve">Conservar pedido original y registrar su equivalencia física real: p. ej. </w:t>
            </w:r>
            <w:r>
              <w:rPr>
                <w:rFonts w:ascii="Consolas" w:hAnsi="Consolas"/>
                <w:color w:val="1F4D78"/>
                <w:sz w:val="17"/>
              </w:rPr>
              <w:t>5 tomates → 0,416 kg</w:t>
            </w:r>
            <w:r>
              <w:rPr>
                <w:rFonts w:ascii="Calibri" w:hAnsi="Calibri"/>
                <w:color w:val="17202A"/>
                <w:sz w:val="18"/>
              </w:rPr>
              <w:t xml:space="preserve"> o </w:t>
            </w:r>
            <w:r>
              <w:rPr>
                <w:rFonts w:ascii="Consolas" w:hAnsi="Consolas"/>
                <w:color w:val="1F4D78"/>
                <w:sz w:val="17"/>
              </w:rPr>
              <w:t>Bs 12 de papa → 6 unidades → 1,102 kg</w:t>
            </w:r>
            <w:r>
              <w:rPr>
                <w:rFonts w:ascii="Calibri" w:hAnsi="Calibri"/>
                <w:color w:val="17202A"/>
                <w:sz w:val="18"/>
              </w:rPr>
              <w:t>. No añadir una cuarta columna visible en esta primera réplica.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Compartir recibo digital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Existe flujo de exportación/imagen.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Probar en el dispositivo y canal real del Administrador.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Configuración del catálogo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201 de 233 combinaciones producto/unidad quedaron configuradas de forma segura.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 xml:space="preserve">Resolver 32 combinaciones sin inventar factores para </w:t>
            </w:r>
            <w:r>
              <w:rPr>
                <w:rFonts w:ascii="Consolas" w:hAnsi="Consolas"/>
                <w:color w:val="1F4D78"/>
                <w:sz w:val="17"/>
              </w:rPr>
              <w:t>BS</w:t>
            </w:r>
            <w:r>
              <w:rPr>
                <w:rFonts w:ascii="Calibri" w:hAnsi="Calibri"/>
                <w:color w:val="17202A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CARGA</w:t>
            </w:r>
            <w:r>
              <w:rPr>
                <w:rFonts w:ascii="Calibri" w:hAnsi="Calibri"/>
                <w:color w:val="17202A"/>
                <w:sz w:val="18"/>
              </w:rPr>
              <w:t xml:space="preserve"> y empaques entre dimensiones.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No implementado como experiencia final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880"/>
        <w:gridCol w:w="6480"/>
      </w:tblGrid>
      <w:tr>
        <w:trPr>
          <w:tblHeader w:val="true"/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/>
                <w:b/>
                <w:color w:val="17324D"/>
                <w:sz w:val="19"/>
              </w:rPr>
              <w:t>Necesidad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/>
                <w:b/>
                <w:color w:val="17324D"/>
                <w:sz w:val="19"/>
              </w:rPr>
              <w:t>Brecha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Carga masiva de productos/stock tipo Excel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El catálogo se muestra en tabla, pero el alta y los movimientos siguen siendo formularios individuales.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Historiales horizontales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Pedidos, inventario y recibos todavía usan listados/tablas convencionales; no existe una matriz por fecha hacia la derecha para todos los históricos.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Recibos agrupados por fecha hacia la derecha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La gestión actual presenta recibos en secuencia/listado, no como hoja horizontal diaria.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Paridad visual firmada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La matriz está técnicamente alineada con el contrato, pero falta validación humana en escritorio y a 390 px.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Referencia del sistema anterior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No se ha inspeccionado el repositorio anterior; falta URL/acceso y definición del componente a estudiar.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Conversión variable de carga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9"/>
              </w:rPr>
              <w:t>La conversión actual se modela principalmente como presentación configurada; falta capturar arrobas reales por cada carga recibida.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t>7. Decisiones aclaradas y reglas de interpretación</w:t>
      </w:r>
    </w:p>
    <w:p>
      <w:pPr>
        <w:pStyle w:val="Heading2"/>
      </w:pPr>
      <w:r>
        <w:t>Tres columnas heredadas</w:t>
      </w:r>
    </w:p>
    <w:p>
      <w:r>
        <w:rPr>
          <w:rFonts w:ascii="Calibri" w:hAnsi="Calibri"/>
          <w:color w:val="17202A"/>
          <w:sz w:val="22"/>
        </w:rPr>
        <w:t xml:space="preserve">El cliente confirmó que, por ahora, quiere únicamente </w:t>
      </w:r>
      <w:r>
        <w:rPr>
          <w:rFonts w:ascii="Consolas" w:hAnsi="Consolas"/>
          <w:color w:val="1F4D78"/>
          <w:sz w:val="21"/>
        </w:rPr>
        <w:t>CANT | CHECK | OBSERVACIÓN</w:t>
      </w:r>
      <w:r>
        <w:rPr>
          <w:rFonts w:ascii="Calibri" w:hAnsi="Calibri"/>
          <w:color w:val="17202A"/>
          <w:sz w:val="22"/>
        </w:rPr>
        <w:t>, lo más idéntico posible a la hoja antigua. Esta decisión reemplaza temporalmente el contrato visual de cinco/siete columnas. La simplificación es de interfaz, no de modelo: solicitado, preparado, externo y entregado deben seguir diferenciados y auditados internamente.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 xml:space="preserve">En Preparación, </w:t>
      </w:r>
      <w:r>
        <w:rPr>
          <w:rFonts w:ascii="Consolas" w:hAnsi="Consolas"/>
          <w:color w:val="1F4D78"/>
          <w:sz w:val="21"/>
        </w:rPr>
        <w:t>CANT</w:t>
      </w:r>
      <w:r>
        <w:rPr>
          <w:rFonts w:ascii="Calibri" w:hAnsi="Calibri"/>
          <w:color w:val="17202A"/>
          <w:sz w:val="22"/>
        </w:rPr>
        <w:t xml:space="preserve"> es lo preparado por Inventario.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 xml:space="preserve">En Entrega, </w:t>
      </w:r>
      <w:r>
        <w:rPr>
          <w:rFonts w:ascii="Consolas" w:hAnsi="Consolas"/>
          <w:color w:val="1F4D78"/>
          <w:sz w:val="21"/>
        </w:rPr>
        <w:t>CANT</w:t>
      </w:r>
      <w:r>
        <w:rPr>
          <w:rFonts w:ascii="Calibri" w:hAnsi="Calibri"/>
          <w:color w:val="17202A"/>
          <w:sz w:val="22"/>
        </w:rPr>
        <w:t xml:space="preserve"> es lo realmente entregado.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CHECK</w:t>
      </w:r>
      <w:r>
        <w:rPr>
          <w:rFonts w:ascii="Calibri" w:hAnsi="Calibri"/>
          <w:color w:val="17202A"/>
          <w:sz w:val="22"/>
        </w:rPr>
        <w:t xml:space="preserve"> pertenece al actor y etapa correspondientes.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OBSERVACIÓN</w:t>
      </w:r>
      <w:r>
        <w:rPr>
          <w:rFonts w:ascii="Calibri" w:hAnsi="Calibri"/>
          <w:color w:val="17202A"/>
          <w:sz w:val="22"/>
        </w:rPr>
        <w:t xml:space="preserve"> explica faltantes, sustituciones, pérdidas o diferencias.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El peso real se conserva como dato estructurado, pero no aparece como columna adicional en esta primera réplica.</w:t>
      </w:r>
    </w:p>
    <w:p>
      <w:pPr>
        <w:pStyle w:val="Heading2"/>
      </w:pPr>
      <w:r>
        <w:t>“Clonar” la tabla</w:t>
      </w:r>
    </w:p>
    <w:p>
      <w:r>
        <w:rPr>
          <w:rFonts w:ascii="Calibri" w:hAnsi="Calibri"/>
          <w:color w:val="17202A"/>
          <w:sz w:val="22"/>
        </w:rPr>
        <w:t>El Entregador debe recibir un snapshot lógico de lo preparado, no una copia desconectada de datos. Una única base conserva la relación solicitado → preparado → externo → entregado y permite atribuir cada modificación.</w:t>
      </w:r>
    </w:p>
    <w:p>
      <w:pPr>
        <w:pStyle w:val="Heading2"/>
      </w:pPr>
      <w:r>
        <w:t>Peso real y pedido en otra unidad</w:t>
      </w:r>
    </w:p>
    <w:p>
      <w:r>
        <w:rPr>
          <w:rFonts w:ascii="Calibri" w:hAnsi="Calibri"/>
          <w:color w:val="17202A"/>
          <w:sz w:val="22"/>
        </w:rPr>
        <w:t>El pedido conserva la forma expresada por el cliente y además registra su equivalencia física: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5 tomates</w:t>
      </w:r>
      <w:r>
        <w:rPr>
          <w:rFonts w:ascii="Calibri" w:hAnsi="Calibri"/>
          <w:color w:val="17202A"/>
          <w:sz w:val="22"/>
        </w:rPr>
        <w:t xml:space="preserve"> puede equivaler a </w:t>
      </w:r>
      <w:r>
        <w:rPr>
          <w:rFonts w:ascii="Consolas" w:hAnsi="Consolas"/>
          <w:color w:val="1F4D78"/>
          <w:sz w:val="21"/>
        </w:rPr>
        <w:t>0,416 kg</w:t>
      </w:r>
      <w:r>
        <w:rPr>
          <w:rFonts w:ascii="Calibri" w:hAnsi="Calibri"/>
          <w:color w:val="17202A"/>
          <w:sz w:val="22"/>
        </w:rPr>
        <w:t xml:space="preserve"> reales.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Bs 12 de papa</w:t>
      </w:r>
      <w:r>
        <w:rPr>
          <w:rFonts w:ascii="Calibri" w:hAnsi="Calibri"/>
          <w:color w:val="17202A"/>
          <w:sz w:val="22"/>
        </w:rPr>
        <w:t xml:space="preserve"> puede equivaler a </w:t>
      </w:r>
      <w:r>
        <w:rPr>
          <w:rFonts w:ascii="Consolas" w:hAnsi="Consolas"/>
          <w:color w:val="1F4D78"/>
          <w:sz w:val="21"/>
        </w:rPr>
        <w:t>6 unidades</w:t>
      </w:r>
      <w:r>
        <w:rPr>
          <w:rFonts w:ascii="Calibri" w:hAnsi="Calibri"/>
          <w:color w:val="17202A"/>
          <w:sz w:val="22"/>
        </w:rPr>
        <w:t xml:space="preserve"> y </w:t>
      </w:r>
      <w:r>
        <w:rPr>
          <w:rFonts w:ascii="Consolas" w:hAnsi="Consolas"/>
          <w:color w:val="1F4D78"/>
          <w:sz w:val="21"/>
        </w:rPr>
        <w:t>1,102 kg</w:t>
      </w:r>
      <w:r>
        <w:rPr>
          <w:rFonts w:ascii="Calibri" w:hAnsi="Calibri"/>
          <w:color w:val="17202A"/>
          <w:sz w:val="22"/>
        </w:rPr>
        <w:t xml:space="preserve"> reales.</w:t>
      </w:r>
    </w:p>
    <w:p>
      <w:r>
        <w:rPr>
          <w:rFonts w:ascii="Calibri" w:hAnsi="Calibri"/>
          <w:color w:val="17202A"/>
          <w:sz w:val="22"/>
        </w:rPr>
        <w:t>No se debe sobrescribir la cantidad original con el peso. Pedido, equivalencia en unidades y peso real son datos distintos.</w:t>
      </w:r>
    </w:p>
    <w:p>
      <w:pPr>
        <w:pStyle w:val="Heading2"/>
      </w:pPr>
      <w:r>
        <w:t>Reapertura</w:t>
      </w:r>
    </w:p>
    <w:p>
      <w:r>
        <w:rPr>
          <w:rFonts w:ascii="Calibri" w:hAnsi="Calibri"/>
          <w:color w:val="17202A"/>
          <w:sz w:val="22"/>
        </w:rPr>
        <w:t>Por ahora, todos los usuarios operativos pueden reabrir una entrega durante tiempo ilimitado. Cada reapertura y cambio posterior debe conservar actor, fecha, valor anterior, valor nuevo y etapa; no se permite borrar el historial.</w:t>
      </w:r>
    </w:p>
    <w:p>
      <w:pPr>
        <w:pStyle w:val="Heading2"/>
      </w:pPr>
      <w:r>
        <w:t>Precio por cantidad o por importe</w:t>
      </w:r>
    </w:p>
    <w:p>
      <w:r>
        <w:rPr>
          <w:rFonts w:ascii="Calibri" w:hAnsi="Calibri"/>
          <w:color w:val="17202A"/>
          <w:sz w:val="22"/>
        </w:rPr>
        <w:t>La regla general es bidireccional: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 xml:space="preserve">Si el precio es </w:t>
      </w:r>
      <w:r>
        <w:rPr>
          <w:rFonts w:ascii="Consolas" w:hAnsi="Consolas"/>
          <w:color w:val="1F4D78"/>
          <w:sz w:val="21"/>
        </w:rPr>
        <w:t>Bs 10/kg</w:t>
      </w:r>
      <w:r>
        <w:rPr>
          <w:rFonts w:ascii="Calibri" w:hAnsi="Calibri"/>
          <w:color w:val="17202A"/>
          <w:sz w:val="22"/>
        </w:rPr>
        <w:t xml:space="preserve"> y el cliente pide </w:t>
      </w:r>
      <w:r>
        <w:rPr>
          <w:rFonts w:ascii="Consolas" w:hAnsi="Consolas"/>
          <w:color w:val="1F4D78"/>
          <w:sz w:val="21"/>
        </w:rPr>
        <w:t>Bs 5</w:t>
      </w:r>
      <w:r>
        <w:rPr>
          <w:rFonts w:ascii="Calibri" w:hAnsi="Calibri"/>
          <w:color w:val="17202A"/>
          <w:sz w:val="22"/>
        </w:rPr>
        <w:t xml:space="preserve">, corresponde </w:t>
      </w:r>
      <w:r>
        <w:rPr>
          <w:rFonts w:ascii="Consolas" w:hAnsi="Consolas"/>
          <w:color w:val="1F4D78"/>
          <w:sz w:val="21"/>
        </w:rPr>
        <w:t>0,5 kg</w:t>
      </w:r>
      <w:r>
        <w:rPr>
          <w:rFonts w:ascii="Calibri" w:hAnsi="Calibri"/>
          <w:color w:val="17202A"/>
          <w:sz w:val="22"/>
        </w:rPr>
        <w:t>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Si se conoce cantidad y precio unitario, el importe es cantidad × precio.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Si se conoce importe y precio unitario, la cantidad es importe ÷ precio.</w:t>
      </w:r>
    </w:p>
    <w:p>
      <w:r>
        <w:rPr>
          <w:rFonts w:ascii="Calibri" w:hAnsi="Calibri"/>
          <w:color w:val="17202A"/>
          <w:sz w:val="22"/>
        </w:rPr>
        <w:t>La anotación “cebolla blanca cuesta 100/25 libras + 1,42” está en bolivianos, pero todavía debe validarse con el cliente antes de convertirla en fórmula productiva.</w:t>
      </w:r>
    </w:p>
    <w:p>
      <w:pPr>
        <w:pStyle w:val="Heading1"/>
      </w:pPr>
      <w:r>
        <w:t>8. Hoja de ruta recomendada</w:t>
      </w:r>
    </w:p>
    <w:p>
      <w:pPr>
        <w:pStyle w:val="Heading2"/>
      </w:pPr>
      <w:r>
        <w:t>Paso 1 — Congelar el flujo de migración</w:t>
      </w:r>
    </w:p>
    <w:p>
      <w:r>
        <w:rPr>
          <w:rFonts w:ascii="Calibri" w:hAnsi="Calibri"/>
          <w:b/>
          <w:color w:val="17202A"/>
          <w:sz w:val="22"/>
        </w:rPr>
        <w:t>Acción inicial:</w:t>
      </w:r>
      <w:r>
        <w:rPr>
          <w:rFonts w:ascii="Calibri" w:hAnsi="Calibri"/>
          <w:color w:val="17202A"/>
          <w:sz w:val="22"/>
        </w:rPr>
        <w:t xml:space="preserve"> hacer validación humana de la matriz con una fecha real recreada.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Probar Administrador, Inventario y Entregador con cuentas distintas.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Validar escritorio y 390 px.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Firmar columnas, colores, orden de clientes, estados y reglas de diferencia.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 xml:space="preserve">Confirmar que Preparación y Entrega muestran solo </w:t>
      </w:r>
      <w:r>
        <w:rPr>
          <w:rFonts w:ascii="Consolas" w:hAnsi="Consolas"/>
          <w:color w:val="1F4D78"/>
          <w:sz w:val="21"/>
        </w:rPr>
        <w:t>CANT | CHECK | OBSERVACIÓN</w:t>
      </w:r>
      <w:r>
        <w:rPr>
          <w:rFonts w:ascii="Calibri" w:hAnsi="Calibri"/>
          <w:color w:val="17202A"/>
          <w:sz w:val="22"/>
        </w:rPr>
        <w:t>.</w:t>
      </w:r>
    </w:p>
    <w:p>
      <w:r>
        <w:rPr>
          <w:rFonts w:ascii="Calibri" w:hAnsi="Calibri"/>
          <w:b/>
          <w:color w:val="17202A"/>
          <w:sz w:val="22"/>
        </w:rPr>
        <w:t>Salida:</w:t>
      </w:r>
      <w:r>
        <w:rPr>
          <w:rFonts w:ascii="Calibri" w:hAnsi="Calibri"/>
          <w:color w:val="17202A"/>
          <w:sz w:val="22"/>
        </w:rPr>
        <w:t xml:space="preserve"> captura aprobada y checklist firmado; no añadir módulos antes de cerrar este paso.</w:t>
      </w:r>
    </w:p>
    <w:p>
      <w:pPr>
        <w:pStyle w:val="Heading2"/>
      </w:pPr>
      <w:r>
        <w:t>Paso 2 — Completar datos operativos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Resolver las 32 combinaciones de unidad/presentación pendientes.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 xml:space="preserve">Aplicar temporalmente incremento global de </w:t>
      </w:r>
      <w:r>
        <w:rPr>
          <w:rFonts w:ascii="Consolas" w:hAnsi="Consolas"/>
          <w:color w:val="1F4D78"/>
          <w:sz w:val="21"/>
        </w:rPr>
        <w:t>0,5</w:t>
      </w:r>
      <w:r>
        <w:rPr>
          <w:rFonts w:ascii="Calibri" w:hAnsi="Calibri"/>
          <w:color w:val="17202A"/>
          <w:sz w:val="22"/>
        </w:rPr>
        <w:t>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Capturar manualmente arrobas por cada carga recibida; no usar un factor fijo.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Confirmar conversiones posteriores de arroba, libra y empaques.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Cargar precios/fórmulas aprobados, incluida la regla de cebolla blanca.</w:t>
      </w:r>
    </w:p>
    <w:p>
      <w:r>
        <w:rPr>
          <w:rFonts w:ascii="Calibri" w:hAnsi="Calibri"/>
          <w:b/>
          <w:color w:val="17202A"/>
          <w:sz w:val="22"/>
        </w:rPr>
        <w:t>Salida:</w:t>
      </w:r>
      <w:r>
        <w:rPr>
          <w:rFonts w:ascii="Calibri" w:hAnsi="Calibri"/>
          <w:color w:val="17202A"/>
          <w:sz w:val="22"/>
        </w:rPr>
        <w:t xml:space="preserve"> catálogo utilizable sin decisiones improvisadas por el personal.</w:t>
      </w:r>
    </w:p>
    <w:p>
      <w:pPr>
        <w:pStyle w:val="Heading2"/>
      </w:pPr>
      <w:r>
        <w:t>Paso 3 — Carga masiva tipo Excel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Crear una cuadrícula editable para múltiples ingresos/productos.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Permitir pegar filas desde Excel/Sheets.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Validar producto, unidad, cantidad, costo y conversión por celda.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Mostrar errores sin perder las filas válidas.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Guardar en una transacción o lote auditado.</w:t>
      </w:r>
    </w:p>
    <w:p>
      <w:r>
        <w:rPr>
          <w:rFonts w:ascii="Calibri" w:hAnsi="Calibri"/>
          <w:b/>
          <w:color w:val="17202A"/>
          <w:sz w:val="22"/>
        </w:rPr>
        <w:t>Salida:</w:t>
      </w:r>
      <w:r>
        <w:rPr>
          <w:rFonts w:ascii="Calibri" w:hAnsi="Calibri"/>
          <w:color w:val="17202A"/>
          <w:sz w:val="22"/>
        </w:rPr>
        <w:t xml:space="preserve"> alta diaria rápida y trazable.</w:t>
      </w:r>
    </w:p>
    <w:p>
      <w:pPr>
        <w:pStyle w:val="Heading2"/>
      </w:pPr>
      <w:r>
        <w:t>Paso 4 — Recibo y cierre diario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Ajustar el recibo a la captura aprobada.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Definir fecha de entrega como fecha principal visible.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Conservar cantidad pedida, equivalencia en unidades y peso real como datos separados.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Mostrar solo logo, cliente, fecha de entrega, productos, cantidad, precio final y total.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Probar exportación/compartir desde el teléfono del Administrador.</w:t>
      </w:r>
    </w:p>
    <w:p>
      <w:r>
        <w:rPr>
          <w:rFonts w:ascii="Calibri" w:hAnsi="Calibri"/>
          <w:b/>
          <w:color w:val="17202A"/>
          <w:sz w:val="22"/>
        </w:rPr>
        <w:t>Salida:</w:t>
      </w:r>
      <w:r>
        <w:rPr>
          <w:rFonts w:ascii="Calibri" w:hAnsi="Calibri"/>
          <w:color w:val="17202A"/>
          <w:sz w:val="22"/>
        </w:rPr>
        <w:t xml:space="preserve"> comprobante digital aceptado por el cliente.</w:t>
      </w:r>
    </w:p>
    <w:p>
      <w:pPr>
        <w:pStyle w:val="Heading2"/>
      </w:pPr>
      <w:r>
        <w:t>Paso 5 — Histórico para repetir pedido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Al seleccionar un cliente en “Nuevo pedido”, cargar su último pedido.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Conservar producto, unidad y forma de pedido exactos.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Permitir editar, agregar o quitar líneas antes de crear el pedido.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Mantener la lógica existente de “Repetir último pedido”, que ya cubre la necesidad principal.</w:t>
      </w:r>
    </w:p>
    <w:p>
      <w:r>
        <w:rPr>
          <w:rFonts w:ascii="Calibri" w:hAnsi="Calibri"/>
          <w:b/>
          <w:color w:val="17202A"/>
          <w:sz w:val="22"/>
        </w:rPr>
        <w:t>Salida:</w:t>
      </w:r>
      <w:r>
        <w:rPr>
          <w:rFonts w:ascii="Calibri" w:hAnsi="Calibri"/>
          <w:color w:val="17202A"/>
          <w:sz w:val="22"/>
        </w:rPr>
        <w:t xml:space="preserve"> repetición editable del último pedido del cliente.</w:t>
      </w:r>
    </w:p>
    <w:p>
      <w:pPr>
        <w:pStyle w:val="Heading2"/>
      </w:pPr>
      <w:r>
        <w:t>Paso 6 — Referencia del sistema anterior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Inspeccionar el repositorio anterior cuando se entregue acceso.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Documentar comportamiento, atajos y reglas; no copiar secretos ni dependencias obsoletas.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Reutilizar ideas de interacción, no duplicar la arquitectura ni crear una segunda fuente de verdad.</w:t>
      </w:r>
    </w:p>
    <w:p>
      <w:pPr>
        <w:pStyle w:val="Heading1"/>
      </w:pPr>
      <w:r>
        <w:t>9. Checklist de aceptación del flujo prioritario</w:t>
      </w:r>
    </w:p>
    <w:p>
      <w:pPr>
        <w:pStyle w:val="Heading2"/>
      </w:pPr>
      <w:r>
        <w:t>Administrador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Puede ordenar clientes para una fecha.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Ve todos los clientes y totales en una sola matriz.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Identifica quién cambió cada valor sensible.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Reabre/corrige solo con motivo registrado.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Emite y comparte un recibo sin exponer código o factores internos.</w:t>
      </w:r>
    </w:p>
    <w:p>
      <w:pPr>
        <w:pStyle w:val="Heading2"/>
      </w:pPr>
      <w:r>
        <w:t>Inventario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Solo puede editar preparación, check y observación autorizados.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Puede registrar cero o parcial sin bloquear el día.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Ve faltante y estado con texto, no solo color.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Al finalizar, Entregador recibe el snapshot correcto.</w:t>
      </w:r>
    </w:p>
    <w:p>
      <w:pPr>
        <w:pStyle w:val="Heading2"/>
      </w:pPr>
      <w:r>
        <w:t>Entregador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Ingresa con cuenta propia.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No puede alterar la preparación de bodega.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Registra externo, cantidad exacta entregada, check y observación.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Puede entregar más o menos con motivo obligatorio.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La confirmación no duplica stock, entrega ni auditoría.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Puede reabrir sin límite de tiempo y el sistema conserva toda la auditoría.</w:t>
      </w:r>
    </w:p>
    <w:p>
      <w:pPr>
        <w:pStyle w:val="Heading2"/>
      </w:pPr>
      <w:r>
        <w:t>Visual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La tabla se reconoce como la hoja actual del cliente.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Todos los clientes permanecen visibles hacia la derecha.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La matriz funciona a 390 px con scroll táctil.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 xml:space="preserve">[ ] </w:t>
      </w:r>
      <w:r>
        <w:rPr>
          <w:rFonts w:ascii="Consolas" w:hAnsi="Consolas"/>
          <w:color w:val="1F4D78"/>
          <w:sz w:val="21"/>
        </w:rPr>
        <w:t>N°</w:t>
      </w:r>
      <w:r>
        <w:rPr>
          <w:rFonts w:ascii="Calibri" w:hAnsi="Calibri"/>
          <w:color w:val="17202A"/>
          <w:sz w:val="22"/>
        </w:rPr>
        <w:t xml:space="preserve">, </w:t>
      </w:r>
      <w:r>
        <w:rPr>
          <w:rFonts w:ascii="Consolas" w:hAnsi="Consolas"/>
          <w:color w:val="1F4D78"/>
          <w:sz w:val="21"/>
        </w:rPr>
        <w:t>DESCRIPCIÓN</w:t>
      </w:r>
      <w:r>
        <w:rPr>
          <w:rFonts w:ascii="Calibri" w:hAnsi="Calibri"/>
          <w:color w:val="17202A"/>
          <w:sz w:val="22"/>
        </w:rPr>
        <w:t xml:space="preserve">, </w:t>
      </w:r>
      <w:r>
        <w:rPr>
          <w:rFonts w:ascii="Consolas" w:hAnsi="Consolas"/>
          <w:color w:val="1F4D78"/>
          <w:sz w:val="21"/>
        </w:rPr>
        <w:t>UD</w:t>
      </w:r>
      <w:r>
        <w:rPr>
          <w:rFonts w:ascii="Calibri" w:hAnsi="Calibri"/>
          <w:color w:val="17202A"/>
          <w:sz w:val="22"/>
        </w:rPr>
        <w:t xml:space="preserve"> y cabeceras permanecen sticky.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>[ ] Categorías, numeración, colores y totales son legibles.</w:t>
      </w:r>
    </w:p>
    <w:p>
      <w:pPr>
        <w:numPr>
          <w:ilvl w:val="0"/>
          <w:numId w:val="1"/>
        </w:numPr>
      </w:pPr>
      <w:r>
        <w:rPr>
          <w:rFonts w:ascii="Calibri" w:hAnsi="Calibri"/>
          <w:color w:val="17202A"/>
          <w:sz w:val="22"/>
        </w:rPr>
        <w:t xml:space="preserve">[ ] Cada cliente muestra únicamente </w:t>
      </w:r>
      <w:r>
        <w:rPr>
          <w:rFonts w:ascii="Consolas" w:hAnsi="Consolas"/>
          <w:color w:val="1F4D78"/>
          <w:sz w:val="21"/>
        </w:rPr>
        <w:t>CANT | CHECK | OBSERVACIÓN</w:t>
      </w:r>
      <w:r>
        <w:rPr>
          <w:rFonts w:ascii="Calibri" w:hAnsi="Calibri"/>
          <w:color w:val="17202A"/>
          <w:sz w:val="22"/>
        </w:rPr>
        <w:t>.</w:t>
      </w:r>
    </w:p>
    <w:p>
      <w:pPr>
        <w:pStyle w:val="Heading1"/>
      </w:pPr>
      <w:r>
        <w:t>10. Respuestas confirmadas el 24/07/2026</w:t>
      </w:r>
    </w:p>
    <w:p>
      <w:pPr>
        <w:numPr>
          <w:ilvl w:val="0"/>
          <w:numId w:val="25"/>
        </w:numPr>
      </w:pPr>
      <w:r>
        <w:rPr>
          <w:rFonts w:ascii="Calibri" w:hAnsi="Calibri"/>
          <w:b/>
          <w:color w:val="17202A"/>
          <w:sz w:val="22"/>
        </w:rPr>
        <w:t>Columnas:</w:t>
      </w:r>
      <w:r>
        <w:rPr>
          <w:rFonts w:ascii="Calibri" w:hAnsi="Calibri"/>
          <w:color w:val="17202A"/>
          <w:sz w:val="22"/>
        </w:rPr>
        <w:t xml:space="preserve"> mantener solo las tres originales —</w:t>
      </w:r>
      <w:r>
        <w:rPr>
          <w:rFonts w:ascii="Consolas" w:hAnsi="Consolas"/>
          <w:color w:val="1F4D78"/>
          <w:sz w:val="21"/>
        </w:rPr>
        <w:t>CANT | CHECK | OBSERVACIÓN</w:t>
      </w:r>
      <w:r>
        <w:rPr>
          <w:rFonts w:ascii="Calibri" w:hAnsi="Calibri"/>
          <w:color w:val="17202A"/>
          <w:sz w:val="22"/>
        </w:rPr>
        <w:t>—, lo más idénticas posible a la hoja antigua.</w:t>
      </w:r>
    </w:p>
    <w:p>
      <w:pPr>
        <w:numPr>
          <w:ilvl w:val="0"/>
          <w:numId w:val="25"/>
        </w:numPr>
      </w:pPr>
      <w:r>
        <w:rPr>
          <w:rFonts w:ascii="Calibri" w:hAnsi="Calibri"/>
          <w:b/>
          <w:color w:val="17202A"/>
          <w:sz w:val="22"/>
        </w:rPr>
        <w:t>Peso real:</w:t>
      </w:r>
      <w:r>
        <w:rPr>
          <w:rFonts w:ascii="Calibri" w:hAnsi="Calibri"/>
          <w:color w:val="17202A"/>
          <w:sz w:val="22"/>
        </w:rPr>
        <w:t xml:space="preserve"> equivalencia física del pedido, sin reemplazar la cantidad original; puede relacionar importe, unidades y kilogramos.</w:t>
      </w:r>
    </w:p>
    <w:p>
      <w:pPr>
        <w:numPr>
          <w:ilvl w:val="0"/>
          <w:numId w:val="25"/>
        </w:numPr>
      </w:pPr>
      <w:r>
        <w:rPr>
          <w:rFonts w:ascii="Calibri" w:hAnsi="Calibri"/>
          <w:b/>
          <w:color w:val="17202A"/>
          <w:sz w:val="22"/>
        </w:rPr>
        <w:t>Incrementos:</w:t>
      </w:r>
      <w:r>
        <w:rPr>
          <w:rFonts w:ascii="Calibri" w:hAnsi="Calibri"/>
          <w:color w:val="17202A"/>
          <w:sz w:val="22"/>
        </w:rPr>
        <w:t xml:space="preserve"> usar </w:t>
      </w:r>
      <w:r>
        <w:rPr>
          <w:rFonts w:ascii="Consolas" w:hAnsi="Consolas"/>
          <w:color w:val="1F4D78"/>
          <w:sz w:val="21"/>
        </w:rPr>
        <w:t>0,5</w:t>
      </w:r>
      <w:r>
        <w:rPr>
          <w:rFonts w:ascii="Calibri" w:hAnsi="Calibri"/>
          <w:color w:val="17202A"/>
          <w:sz w:val="22"/>
        </w:rPr>
        <w:t xml:space="preserve"> para todos los productos por ahora.</w:t>
      </w:r>
    </w:p>
    <w:p>
      <w:pPr>
        <w:numPr>
          <w:ilvl w:val="0"/>
          <w:numId w:val="25"/>
        </w:numPr>
      </w:pPr>
      <w:r>
        <w:rPr>
          <w:rFonts w:ascii="Calibri" w:hAnsi="Calibri"/>
          <w:b/>
          <w:color w:val="17202A"/>
          <w:sz w:val="22"/>
        </w:rPr>
        <w:t>Carga:</w:t>
      </w:r>
      <w:r>
        <w:rPr>
          <w:rFonts w:ascii="Calibri" w:hAnsi="Calibri"/>
          <w:color w:val="17202A"/>
          <w:sz w:val="22"/>
        </w:rPr>
        <w:t xml:space="preserve"> las arrobas varían; deben ingresarse manualmente en cada recepción.</w:t>
      </w:r>
    </w:p>
    <w:p>
      <w:pPr>
        <w:numPr>
          <w:ilvl w:val="0"/>
          <w:numId w:val="25"/>
        </w:numPr>
      </w:pPr>
      <w:r>
        <w:rPr>
          <w:rFonts w:ascii="Calibri" w:hAnsi="Calibri"/>
          <w:b/>
          <w:color w:val="17202A"/>
          <w:sz w:val="22"/>
        </w:rPr>
        <w:t>Precio:</w:t>
      </w:r>
      <w:r>
        <w:rPr>
          <w:rFonts w:ascii="Calibri" w:hAnsi="Calibri"/>
          <w:color w:val="17202A"/>
          <w:sz w:val="22"/>
        </w:rPr>
        <w:t xml:space="preserve"> trabajar en bolivianos con conversión bidireccional cantidad/importe. La fórmula específica de cebolla blanca aún requiere validación.</w:t>
      </w:r>
    </w:p>
    <w:p>
      <w:pPr>
        <w:numPr>
          <w:ilvl w:val="0"/>
          <w:numId w:val="25"/>
        </w:numPr>
      </w:pPr>
      <w:r>
        <w:rPr>
          <w:rFonts w:ascii="Calibri" w:hAnsi="Calibri"/>
          <w:b/>
          <w:color w:val="17202A"/>
          <w:sz w:val="22"/>
        </w:rPr>
        <w:t>Histórico:</w:t>
      </w:r>
      <w:r>
        <w:rPr>
          <w:rFonts w:ascii="Calibri" w:hAnsi="Calibri"/>
          <w:color w:val="17202A"/>
          <w:sz w:val="22"/>
        </w:rPr>
        <w:t xml:space="preserve"> la necesidad inmediata es cargar el último pedido al elegir cliente y permitir repetirlo/editado.</w:t>
      </w:r>
    </w:p>
    <w:p>
      <w:pPr>
        <w:numPr>
          <w:ilvl w:val="0"/>
          <w:numId w:val="25"/>
        </w:numPr>
      </w:pPr>
      <w:r>
        <w:rPr>
          <w:rFonts w:ascii="Calibri" w:hAnsi="Calibri"/>
          <w:b/>
          <w:color w:val="17202A"/>
          <w:sz w:val="22"/>
        </w:rPr>
        <w:t>Reapertura:</w:t>
      </w:r>
      <w:r>
        <w:rPr>
          <w:rFonts w:ascii="Calibri" w:hAnsi="Calibri"/>
          <w:color w:val="17202A"/>
          <w:sz w:val="22"/>
        </w:rPr>
        <w:t xml:space="preserve"> todos los usuarios operativos, sin límite temporal y con auditoría.</w:t>
      </w:r>
    </w:p>
    <w:p>
      <w:pPr>
        <w:numPr>
          <w:ilvl w:val="0"/>
          <w:numId w:val="25"/>
        </w:numPr>
      </w:pPr>
      <w:r>
        <w:rPr>
          <w:rFonts w:ascii="Calibri" w:hAnsi="Calibri"/>
          <w:b/>
          <w:color w:val="17202A"/>
          <w:sz w:val="22"/>
        </w:rPr>
        <w:t>Recibo de cliente:</w:t>
      </w:r>
      <w:r>
        <w:rPr>
          <w:rFonts w:ascii="Calibri" w:hAnsi="Calibri"/>
          <w:color w:val="17202A"/>
          <w:sz w:val="22"/>
        </w:rPr>
        <w:t xml:space="preserve"> logo, nombre del cliente, fecha de entrega, productos, cantidad, precio final y total.</w:t>
      </w:r>
    </w:p>
    <w:p>
      <w:pPr>
        <w:pStyle w:val="Heading1"/>
      </w:pPr>
      <w:r>
        <w:t>11. Registro de decisiones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872"/>
        <w:gridCol w:w="5616"/>
        <w:gridCol w:w="1872"/>
      </w:tblGrid>
      <w:tr>
        <w:trPr>
          <w:tblHeader w:val="true"/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/>
                <w:b/>
                <w:color w:val="17324D"/>
                <w:sz w:val="18"/>
              </w:rPr>
              <w:t>Fecha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/>
                <w:b/>
                <w:color w:val="17324D"/>
                <w:sz w:val="18"/>
              </w:rPr>
              <w:t>Decisión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9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/>
                <w:b/>
                <w:color w:val="17324D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24/07/2026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Mantener una sola plataforma y una sola base de datos; replicar la familiaridad de Sheets dentro del sistema.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Recomendación vigente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24/07/2026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Mantener todos los clientes en una matriz continua también en móvil; sin selector obligatorio.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Contrato vigente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24/07/2026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Mantener columnas visibles separadas para solicitado, preparado, externo y entregado mientras no exista un cambio explícito aprobado.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Reemplazada por la decisión de tres columnas del 24/07/2026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24/07/2026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No inventar conversiones ni precios para completar el catálogo.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Regla de seguridad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24/07/2026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 xml:space="preserve">Reemplazar temporalmente las cinco/siete columnas visibles por </w:t>
            </w:r>
            <w:r>
              <w:rPr>
                <w:rFonts w:ascii="Consolas" w:hAnsi="Consolas"/>
                <w:color w:val="1F4D78"/>
                <w:sz w:val="17"/>
              </w:rPr>
              <w:t>CANT | CHECK | OBSERVACIÓN</w:t>
            </w:r>
            <w:r>
              <w:rPr>
                <w:rFonts w:ascii="Calibri" w:hAnsi="Calibri"/>
                <w:color w:val="17202A"/>
                <w:sz w:val="18"/>
              </w:rPr>
              <w:t>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Decisión confirmada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24/07/2026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Mantener pedido original, equivalencia en unidades y peso real como datos diferentes.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Decisión confirmada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24/07/2026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 xml:space="preserve">Usar incremento global de </w:t>
            </w:r>
            <w:r>
              <w:rPr>
                <w:rFonts w:ascii="Consolas" w:hAnsi="Consolas"/>
                <w:color w:val="1F4D78"/>
                <w:sz w:val="17"/>
              </w:rPr>
              <w:t>0,5</w:t>
            </w:r>
            <w:r>
              <w:rPr>
                <w:rFonts w:ascii="Calibri" w:hAnsi="Calibri"/>
                <w:color w:val="17202A"/>
                <w:sz w:val="18"/>
              </w:rPr>
              <w:t xml:space="preserve"> hasta que las pruebas indiquen excepciones.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Decisión temporal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24/07/2026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Capturar manualmente las arrobas reales de cada carga recibida.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Decisión confirmada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24/07/2026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Permitir reapertura a todos los usuarios operativos, sin límite temporal y con auditoría.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Decisión temporal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24/07/2026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Limitar el recibo del cliente a logo, cliente, fecha de entrega, productos, cantidad, precio final y total.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Decisión confirmada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Pendiente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Aprobar visualmente la matriz con datos reales en escritorio y 390 px.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Requiere cliente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Pendiente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Validar la fórmula específica de cebolla blanca.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Requiere cliente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Pendiente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Definir carga masiva tipo Excel.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Calibri" w:hAnsi="Calibri"/>
                <w:color w:val="17202A"/>
                <w:sz w:val="18"/>
              </w:rPr>
              <w:t>Próxima fase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t>12. Instrucción de continuidad para una nueva tarea</w:t>
      </w:r>
    </w:p>
    <w:p>
      <w:r>
        <w:rPr>
          <w:rFonts w:ascii="Calibri" w:hAnsi="Calibri"/>
          <w:color w:val="17202A"/>
          <w:sz w:val="22"/>
        </w:rPr>
        <w:t>Al abrir una tarea nueva, indicar: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color w:val="17202A"/>
                <w:sz w:val="20"/>
              </w:rPr>
              <w:t xml:space="preserve">Continúa QB Insumos desde </w:t>
            </w:r>
            <w:r>
              <w:rPr>
                <w:rFonts w:ascii="Consolas" w:hAnsi="Consolas"/>
                <w:color w:val="1F4D78"/>
                <w:sz w:val="19"/>
              </w:rPr>
              <w:t>docs/QB_CONTINUIDAD_OPERATIVA.md</w:t>
            </w:r>
            <w:r>
              <w:rPr>
                <w:rFonts w:ascii="Calibri" w:hAnsi="Calibri"/>
                <w:color w:val="17202A"/>
                <w:sz w:val="20"/>
              </w:rPr>
              <w:t xml:space="preserve">. La prioridad es replicar la hoja antigua con una matriz continua y solo </w:t>
            </w:r>
            <w:r>
              <w:rPr>
                <w:rFonts w:ascii="Consolas" w:hAnsi="Consolas"/>
                <w:color w:val="1F4D78"/>
                <w:sz w:val="19"/>
              </w:rPr>
              <w:t>CANT | CHECK | OBSERVACIÓN</w:t>
            </w:r>
            <w:r>
              <w:rPr>
                <w:rFonts w:ascii="Calibri" w:hAnsi="Calibri"/>
                <w:color w:val="17202A"/>
                <w:sz w:val="20"/>
              </w:rPr>
              <w:t xml:space="preserve"> visibles por cliente, sin perder internamente solicitado/preparado/externo/entregado ni auditoría. Usa incremento temporal global de </w:t>
            </w:r>
            <w:r>
              <w:rPr>
                <w:rFonts w:ascii="Consolas" w:hAnsi="Consolas"/>
                <w:color w:val="1F4D78"/>
                <w:sz w:val="19"/>
              </w:rPr>
              <w:t>0,5</w:t>
            </w:r>
            <w:r>
              <w:rPr>
                <w:rFonts w:ascii="Calibri" w:hAnsi="Calibri"/>
                <w:color w:val="17202A"/>
                <w:sz w:val="20"/>
              </w:rPr>
              <w:t>; captura arrobas reales por carga; conserva pedido, equivalencia y peso real por separado; permite reapertura auditada a todos los usuarios operativos; y limita el recibo externo a logo, cliente, fecha de entrega, productos, cantidad, precio final y total. Revisa commit y producción antes de cambiar código y actualiza este documento con cada decisión nueva.</w:t>
            </w:r>
          </w:p>
        </w:tc>
      </w:tr>
    </w:tbl>
    <w:p>
      <w:pPr>
        <w:pStyle w:val="Heading1"/>
      </w:pPr>
      <w:r>
        <w:t>Anexo — Lectura de las capturas de reunión</w:t>
      </w:r>
    </w:p>
    <w:p>
      <w:pPr>
        <w:numPr>
          <w:ilvl w:val="0"/>
          <w:numId w:val="1"/>
        </w:numPr>
      </w:pPr>
      <w:r>
        <w:rPr>
          <w:rFonts w:ascii="Calibri" w:hAnsi="Calibri"/>
          <w:b/>
          <w:color w:val="17202A"/>
          <w:sz w:val="22"/>
        </w:rPr>
        <w:t>Nuevo pedido:</w:t>
      </w:r>
      <w:r>
        <w:rPr>
          <w:rFonts w:ascii="Calibri" w:hAnsi="Calibri"/>
          <w:color w:val="17202A"/>
          <w:sz w:val="22"/>
        </w:rPr>
        <w:t xml:space="preserve"> se pide un borde más visible, histórico del cliente con producto/unidad exactos y numeración a la izquierda.</w:t>
      </w:r>
    </w:p>
    <w:p>
      <w:pPr>
        <w:numPr>
          <w:ilvl w:val="0"/>
          <w:numId w:val="1"/>
        </w:numPr>
      </w:pPr>
      <w:r>
        <w:rPr>
          <w:rFonts w:ascii="Calibri" w:hAnsi="Calibri"/>
          <w:b/>
          <w:color w:val="17202A"/>
          <w:sz w:val="22"/>
        </w:rPr>
        <w:t>Nuevo ingreso:</w:t>
      </w:r>
      <w:r>
        <w:rPr>
          <w:rFonts w:ascii="Calibri" w:hAnsi="Calibri"/>
          <w:color w:val="17202A"/>
          <w:sz w:val="22"/>
        </w:rPr>
        <w:t xml:space="preserve"> se pide una captura de cantidades más humana y soporte correcto de arrobas por carga.</w:t>
      </w:r>
    </w:p>
    <w:p>
      <w:pPr>
        <w:numPr>
          <w:ilvl w:val="0"/>
          <w:numId w:val="1"/>
        </w:numPr>
      </w:pPr>
      <w:r>
        <w:rPr>
          <w:rFonts w:ascii="Calibri" w:hAnsi="Calibri"/>
          <w:b/>
          <w:color w:val="17202A"/>
          <w:sz w:val="22"/>
        </w:rPr>
        <w:t>Hoja diaria:</w:t>
      </w:r>
      <w:r>
        <w:rPr>
          <w:rFonts w:ascii="Calibri" w:hAnsi="Calibri"/>
          <w:color w:val="17202A"/>
          <w:sz w:val="22"/>
        </w:rPr>
        <w:t xml:space="preserve"> categorías y productos en filas, colores por producto, clientes en grupos horizontales y </w:t>
      </w:r>
      <w:r>
        <w:rPr>
          <w:rFonts w:ascii="Consolas" w:hAnsi="Consolas"/>
          <w:color w:val="1F4D78"/>
          <w:sz w:val="21"/>
        </w:rPr>
        <w:t>CANT | CHECK | OBSERVACIÓN</w:t>
      </w:r>
      <w:r>
        <w:rPr>
          <w:rFonts w:ascii="Calibri" w:hAnsi="Calibri"/>
          <w:color w:val="17202A"/>
          <w:sz w:val="22"/>
        </w:rPr>
        <w:t>.</w:t>
      </w:r>
    </w:p>
    <w:p>
      <w:pPr>
        <w:numPr>
          <w:ilvl w:val="0"/>
          <w:numId w:val="1"/>
        </w:numPr>
      </w:pPr>
      <w:r>
        <w:rPr>
          <w:rFonts w:ascii="Calibri" w:hAnsi="Calibri"/>
          <w:b/>
          <w:color w:val="17202A"/>
          <w:sz w:val="22"/>
        </w:rPr>
        <w:t>Operación:</w:t>
      </w:r>
      <w:r>
        <w:rPr>
          <w:rFonts w:ascii="Calibri" w:hAnsi="Calibri"/>
          <w:color w:val="17202A"/>
          <w:sz w:val="22"/>
        </w:rPr>
        <w:t xml:space="preserve"> Inventario prepara bodega; Entregador completa faltantes, registra entrega exacta y explica diferencias.</w:t>
      </w:r>
    </w:p>
    <w:p>
      <w:pPr>
        <w:numPr>
          <w:ilvl w:val="0"/>
          <w:numId w:val="1"/>
        </w:numPr>
      </w:pPr>
      <w:r>
        <w:rPr>
          <w:rFonts w:ascii="Calibri" w:hAnsi="Calibri"/>
          <w:b/>
          <w:color w:val="17202A"/>
          <w:sz w:val="22"/>
        </w:rPr>
        <w:t>Recibo:</w:t>
      </w:r>
      <w:r>
        <w:rPr>
          <w:rFonts w:ascii="Calibri" w:hAnsi="Calibri"/>
          <w:color w:val="17202A"/>
          <w:sz w:val="22"/>
        </w:rPr>
        <w:t xml:space="preserve"> fecha de entrega como dato principal, productos enumerados, código conservado solo internamente y cabeceras resaltadas.</w:t>
      </w:r>
    </w:p>
    <w:p>
      <w:pPr>
        <w:numPr>
          <w:ilvl w:val="0"/>
          <w:numId w:val="1"/>
        </w:numPr>
      </w:pPr>
      <w:r>
        <w:rPr>
          <w:rFonts w:ascii="Calibri" w:hAnsi="Calibri"/>
          <w:b/>
          <w:color w:val="17202A"/>
          <w:sz w:val="22"/>
        </w:rPr>
        <w:t>Histórico:</w:t>
      </w:r>
      <w:r>
        <w:rPr>
          <w:rFonts w:ascii="Calibri" w:hAnsi="Calibri"/>
          <w:color w:val="17202A"/>
          <w:sz w:val="22"/>
        </w:rPr>
        <w:t xml:space="preserve"> navegación por fecha y hacia la derecha, evitando una secuencia extensa de cards.</w:t>
      </w:r>
    </w:p>
    <w:p>
      <w:r>
        <w:br w:type="page"/>
      </w:r>
    </w:p>
    <w:p>
      <w:pPr>
        <w:pStyle w:val="Heading1"/>
      </w:pPr>
      <w:r>
        <w:t>Anexo visual — evidencia de la reunión</w:t>
      </w:r>
    </w:p>
    <w:p>
      <w:r>
        <w:rPr>
          <w:rFonts w:ascii="Calibri" w:hAnsi="Calibri"/>
          <w:color w:val="17202A"/>
          <w:sz w:val="22"/>
        </w:rPr>
        <w:t>Las capturas se conservan como referencia de intención. Las decisiones actualizadas de este documento prevalecen cuando una nota anterior quedó aclarada.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57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7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7085"/>
          <w:sz w:val="17"/>
        </w:rPr>
        <w:t>Figura 1. Formulario de nuevo pedido.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12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2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7085"/>
          <w:sz w:val="17"/>
        </w:rPr>
        <w:t>Figura 2. Nuevo ingreso y presentación de recepción.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91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9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7085"/>
          <w:sz w:val="17"/>
        </w:rPr>
        <w:t>Figura 3. Hoja heredada con tres columnas por cliente.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36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6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7085"/>
          <w:sz w:val="17"/>
        </w:rPr>
        <w:t>Figura 4. Gestión actual de recibos.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color w:val="667085"/>
        <w:sz w:val="17"/>
      </w:rPr>
      <w:t xml:space="preserve">Referencia de trabajo · 24/07/2026   |   Página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4" w:color="D7DBE2"/>
      </w:pBdr>
    </w:pPr>
    <w:r>
      <w:rPr>
        <w:rFonts w:ascii="Calibri" w:hAnsi="Calibri"/>
        <w:b/>
        <w:color w:val="667085"/>
        <w:sz w:val="17"/>
      </w:rPr>
      <w:t>QB INSUMOS  |  CONTINUIDAD OPERATIVA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