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88BA39" w14:textId="77777777" w:rsidR="00AB5274" w:rsidRPr="00595A8F" w:rsidRDefault="00000000">
      <w:pPr>
        <w:pStyle w:val="Title"/>
        <w:spacing w:before="240" w:after="60"/>
        <w:rPr>
          <w:rFonts w:ascii="Aptos" w:hAnsi="Aptos"/>
        </w:rPr>
      </w:pPr>
      <w:r w:rsidRPr="00595A8F">
        <w:rPr>
          <w:rFonts w:ascii="Aptos" w:hAnsi="Aptos"/>
        </w:rPr>
        <w:t>Summary of Findings</w:t>
      </w:r>
    </w:p>
    <w:p w14:paraId="445CE935" w14:textId="77777777" w:rsidR="00AB5274" w:rsidRPr="00595A8F" w:rsidRDefault="00000000">
      <w:pPr>
        <w:spacing w:after="40"/>
        <w:jc w:val="center"/>
        <w:rPr>
          <w:rFonts w:ascii="Aptos" w:hAnsi="Aptos"/>
        </w:rPr>
      </w:pPr>
      <w:r w:rsidRPr="00595A8F">
        <w:rPr>
          <w:rFonts w:ascii="Aptos" w:hAnsi="Aptos"/>
          <w:i/>
          <w:iCs/>
          <w:color w:val="2E5496"/>
          <w:sz w:val="24"/>
          <w:szCs w:val="24"/>
        </w:rPr>
        <w:t>Stakeholder Perceptions of Academic Dentistry and the Future of Dental Education</w:t>
      </w:r>
    </w:p>
    <w:p w14:paraId="3B6B818D" w14:textId="77777777" w:rsidR="00AB5274" w:rsidRPr="00595A8F" w:rsidRDefault="00000000">
      <w:pPr>
        <w:spacing w:after="20"/>
        <w:jc w:val="center"/>
        <w:rPr>
          <w:rFonts w:ascii="Aptos" w:hAnsi="Aptos"/>
        </w:rPr>
      </w:pPr>
      <w:r w:rsidRPr="00595A8F">
        <w:rPr>
          <w:rFonts w:ascii="Aptos" w:hAnsi="Aptos"/>
        </w:rPr>
        <w:t>ADEA Leadership Institute Fellowship — Class of 2026–27</w:t>
      </w:r>
    </w:p>
    <w:p w14:paraId="2655DC42" w14:textId="77777777" w:rsidR="00AB5274" w:rsidRPr="00595A8F" w:rsidRDefault="00000000">
      <w:pPr>
        <w:spacing w:after="120"/>
        <w:jc w:val="center"/>
        <w:rPr>
          <w:rFonts w:ascii="Aptos" w:hAnsi="Aptos"/>
        </w:rPr>
      </w:pPr>
      <w:r w:rsidRPr="00595A8F">
        <w:rPr>
          <w:rFonts w:ascii="Aptos" w:hAnsi="Aptos"/>
          <w:b/>
          <w:bCs/>
        </w:rPr>
        <w:t>Peer Group: Full Voltage</w:t>
      </w:r>
    </w:p>
    <w:p w14:paraId="46EFA83E" w14:textId="77777777" w:rsidR="00AB5274" w:rsidRPr="00595A8F" w:rsidRDefault="00000000">
      <w:pPr>
        <w:pBdr>
          <w:top w:val="single" w:sz="1" w:space="4" w:color="B7C3CE"/>
          <w:bottom w:val="single" w:sz="1" w:space="4" w:color="B7C3CE"/>
        </w:pBdr>
        <w:spacing w:after="240" w:line="276" w:lineRule="auto"/>
        <w:rPr>
          <w:rFonts w:ascii="Aptos" w:hAnsi="Aptos"/>
        </w:rPr>
      </w:pPr>
      <w:r w:rsidRPr="00595A8F">
        <w:rPr>
          <w:rFonts w:ascii="Aptos" w:hAnsi="Aptos"/>
          <w:b/>
          <w:bCs/>
          <w:i/>
          <w:iCs/>
          <w:color w:val="2E5496"/>
        </w:rPr>
        <w:t xml:space="preserve">Note to Lead Writers: </w:t>
      </w:r>
      <w:r w:rsidRPr="00595A8F">
        <w:rPr>
          <w:rFonts w:ascii="Aptos" w:hAnsi="Aptos"/>
          <w:i/>
          <w:iCs/>
          <w:color w:val="526068"/>
        </w:rPr>
        <w:t>This document is the analyst draft prepared by Bilal and Pacheco as a comprehensive base for the final Summary of Findings. Source-traceable detail (role titles, institutional context, specific data points) has been retained throughout so that lead writers can verify, contextualize, and selectively de-identify content for the final submission to Dr. Tucker-Lively. The lead writers should feel free to trim, reorganize, and further anonymize as needed. The word count of this draft exceeds the ADEA guideline of 2,000 to 3,000 words to ensure no high-signal data is lost; the final version should be edited down accordingly.</w:t>
      </w:r>
    </w:p>
    <w:p w14:paraId="73162B50" w14:textId="77777777" w:rsidR="00AB5274" w:rsidRPr="00595A8F" w:rsidRDefault="00000000">
      <w:pPr>
        <w:pStyle w:val="Heading1"/>
        <w:rPr>
          <w:rFonts w:ascii="Aptos" w:hAnsi="Aptos"/>
        </w:rPr>
      </w:pPr>
      <w:r w:rsidRPr="00595A8F">
        <w:rPr>
          <w:rFonts w:ascii="Aptos" w:hAnsi="Aptos"/>
        </w:rPr>
        <w:t>Fellows and Institutions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AB5274" w:rsidRPr="00595A8F" w14:paraId="26BF5E94" w14:textId="77777777">
        <w:tblPrEx>
          <w:tblCellMar>
            <w:top w:w="0" w:type="dxa"/>
            <w:bottom w:w="0" w:type="dxa"/>
          </w:tblCellMar>
        </w:tblPrEx>
        <w:trPr>
          <w:tblHeader/>
        </w:trPr>
        <w:tc>
          <w:tcPr>
            <w:tcW w:w="4680" w:type="dxa"/>
            <w:tcBorders>
              <w:top w:val="single" w:sz="1" w:space="0" w:color="B7C3CE"/>
              <w:left w:val="single" w:sz="1" w:space="0" w:color="B7C3CE"/>
              <w:bottom w:val="single" w:sz="1" w:space="0" w:color="B7C3CE"/>
              <w:right w:val="single" w:sz="1" w:space="0" w:color="B7C3CE"/>
            </w:tcBorders>
            <w:shd w:val="clear" w:color="auto" w:fill="1F3864"/>
            <w:tcMar>
              <w:top w:w="80" w:type="dxa"/>
              <w:left w:w="120" w:type="dxa"/>
              <w:bottom w:w="80" w:type="dxa"/>
              <w:right w:w="120" w:type="dxa"/>
            </w:tcMar>
          </w:tcPr>
          <w:p w14:paraId="34887F45" w14:textId="77777777" w:rsidR="00AB5274" w:rsidRPr="00595A8F" w:rsidRDefault="00000000">
            <w:pPr>
              <w:rPr>
                <w:rFonts w:ascii="Aptos" w:hAnsi="Aptos"/>
              </w:rPr>
            </w:pPr>
            <w:r w:rsidRPr="00595A8F">
              <w:rPr>
                <w:rFonts w:ascii="Aptos" w:hAnsi="Aptos"/>
                <w:b/>
                <w:bCs/>
                <w:color w:val="FFFFFF"/>
                <w:sz w:val="20"/>
                <w:szCs w:val="20"/>
              </w:rPr>
              <w:t>Fellow</w:t>
            </w:r>
          </w:p>
        </w:tc>
        <w:tc>
          <w:tcPr>
            <w:tcW w:w="4680" w:type="dxa"/>
            <w:tcBorders>
              <w:top w:val="single" w:sz="1" w:space="0" w:color="B7C3CE"/>
              <w:left w:val="single" w:sz="1" w:space="0" w:color="B7C3CE"/>
              <w:bottom w:val="single" w:sz="1" w:space="0" w:color="B7C3CE"/>
              <w:right w:val="single" w:sz="1" w:space="0" w:color="B7C3CE"/>
            </w:tcBorders>
            <w:shd w:val="clear" w:color="auto" w:fill="1F3864"/>
            <w:tcMar>
              <w:top w:w="80" w:type="dxa"/>
              <w:left w:w="120" w:type="dxa"/>
              <w:bottom w:w="80" w:type="dxa"/>
              <w:right w:w="120" w:type="dxa"/>
            </w:tcMar>
          </w:tcPr>
          <w:p w14:paraId="7387406C" w14:textId="77777777" w:rsidR="00AB5274" w:rsidRPr="00595A8F" w:rsidRDefault="00000000">
            <w:pPr>
              <w:rPr>
                <w:rFonts w:ascii="Aptos" w:hAnsi="Aptos"/>
              </w:rPr>
            </w:pPr>
            <w:r w:rsidRPr="00595A8F">
              <w:rPr>
                <w:rFonts w:ascii="Aptos" w:hAnsi="Aptos"/>
                <w:b/>
                <w:bCs/>
                <w:color w:val="FFFFFF"/>
                <w:sz w:val="20"/>
                <w:szCs w:val="20"/>
              </w:rPr>
              <w:t>Institution</w:t>
            </w:r>
          </w:p>
        </w:tc>
      </w:tr>
      <w:tr w:rsidR="00AB5274" w:rsidRPr="00595A8F" w14:paraId="5A376B2A" w14:textId="77777777">
        <w:tblPrEx>
          <w:tblCellMar>
            <w:top w:w="0" w:type="dxa"/>
            <w:bottom w:w="0" w:type="dxa"/>
          </w:tblCellMar>
        </w:tblPrEx>
        <w:tc>
          <w:tcPr>
            <w:tcW w:w="4680" w:type="dxa"/>
            <w:tcBorders>
              <w:top w:val="single" w:sz="1" w:space="0" w:color="B7C3CE"/>
              <w:left w:val="single" w:sz="1" w:space="0" w:color="B7C3CE"/>
              <w:bottom w:val="single" w:sz="1" w:space="0" w:color="B7C3CE"/>
              <w:right w:val="single" w:sz="1" w:space="0" w:color="B7C3CE"/>
            </w:tcBorders>
            <w:tcMar>
              <w:top w:w="80" w:type="dxa"/>
              <w:left w:w="120" w:type="dxa"/>
              <w:bottom w:w="80" w:type="dxa"/>
              <w:right w:w="120" w:type="dxa"/>
            </w:tcMar>
          </w:tcPr>
          <w:p w14:paraId="169C2A76" w14:textId="77777777" w:rsidR="00AB5274" w:rsidRPr="00595A8F" w:rsidRDefault="00000000">
            <w:pPr>
              <w:rPr>
                <w:rFonts w:ascii="Aptos" w:hAnsi="Aptos"/>
              </w:rPr>
            </w:pPr>
            <w:r w:rsidRPr="00595A8F">
              <w:rPr>
                <w:rFonts w:ascii="Aptos" w:hAnsi="Aptos"/>
                <w:sz w:val="20"/>
                <w:szCs w:val="20"/>
              </w:rPr>
              <w:t>Sobia Bilal</w:t>
            </w:r>
          </w:p>
        </w:tc>
        <w:tc>
          <w:tcPr>
            <w:tcW w:w="4680" w:type="dxa"/>
            <w:tcBorders>
              <w:top w:val="single" w:sz="1" w:space="0" w:color="B7C3CE"/>
              <w:left w:val="single" w:sz="1" w:space="0" w:color="B7C3CE"/>
              <w:bottom w:val="single" w:sz="1" w:space="0" w:color="B7C3CE"/>
              <w:right w:val="single" w:sz="1" w:space="0" w:color="B7C3CE"/>
            </w:tcBorders>
            <w:tcMar>
              <w:top w:w="80" w:type="dxa"/>
              <w:left w:w="120" w:type="dxa"/>
              <w:bottom w:w="80" w:type="dxa"/>
              <w:right w:w="120" w:type="dxa"/>
            </w:tcMar>
          </w:tcPr>
          <w:p w14:paraId="0015AA6B" w14:textId="77777777" w:rsidR="00AB5274" w:rsidRPr="00595A8F" w:rsidRDefault="00000000">
            <w:pPr>
              <w:rPr>
                <w:rFonts w:ascii="Aptos" w:hAnsi="Aptos"/>
              </w:rPr>
            </w:pPr>
            <w:r w:rsidRPr="00595A8F">
              <w:rPr>
                <w:rFonts w:ascii="Aptos" w:hAnsi="Aptos"/>
                <w:sz w:val="20"/>
                <w:szCs w:val="20"/>
              </w:rPr>
              <w:t>University of Illinois Chicago, College of Dentistry</w:t>
            </w:r>
          </w:p>
        </w:tc>
      </w:tr>
      <w:tr w:rsidR="00AB5274" w:rsidRPr="00595A8F" w14:paraId="790E2FE4" w14:textId="77777777">
        <w:tblPrEx>
          <w:tblCellMar>
            <w:top w:w="0" w:type="dxa"/>
            <w:bottom w:w="0" w:type="dxa"/>
          </w:tblCellMar>
        </w:tblPrEx>
        <w:tc>
          <w:tcPr>
            <w:tcW w:w="4680" w:type="dxa"/>
            <w:tcBorders>
              <w:top w:val="single" w:sz="1" w:space="0" w:color="B7C3CE"/>
              <w:left w:val="single" w:sz="1" w:space="0" w:color="B7C3CE"/>
              <w:bottom w:val="single" w:sz="1" w:space="0" w:color="B7C3CE"/>
              <w:right w:val="single" w:sz="1" w:space="0" w:color="B7C3CE"/>
            </w:tcBorders>
            <w:shd w:val="clear" w:color="auto" w:fill="EEF2F7"/>
            <w:tcMar>
              <w:top w:w="80" w:type="dxa"/>
              <w:left w:w="120" w:type="dxa"/>
              <w:bottom w:w="80" w:type="dxa"/>
              <w:right w:w="120" w:type="dxa"/>
            </w:tcMar>
          </w:tcPr>
          <w:p w14:paraId="1B170F1E" w14:textId="77777777" w:rsidR="00AB5274" w:rsidRPr="00595A8F" w:rsidRDefault="00000000">
            <w:pPr>
              <w:rPr>
                <w:rFonts w:ascii="Aptos" w:hAnsi="Aptos"/>
              </w:rPr>
            </w:pPr>
            <w:r w:rsidRPr="00595A8F">
              <w:rPr>
                <w:rFonts w:ascii="Aptos" w:hAnsi="Aptos"/>
                <w:sz w:val="20"/>
                <w:szCs w:val="20"/>
              </w:rPr>
              <w:t>Steven Toth</w:t>
            </w:r>
          </w:p>
        </w:tc>
        <w:tc>
          <w:tcPr>
            <w:tcW w:w="4680" w:type="dxa"/>
            <w:tcBorders>
              <w:top w:val="single" w:sz="1" w:space="0" w:color="B7C3CE"/>
              <w:left w:val="single" w:sz="1" w:space="0" w:color="B7C3CE"/>
              <w:bottom w:val="single" w:sz="1" w:space="0" w:color="B7C3CE"/>
              <w:right w:val="single" w:sz="1" w:space="0" w:color="B7C3CE"/>
            </w:tcBorders>
            <w:shd w:val="clear" w:color="auto" w:fill="EEF2F7"/>
            <w:tcMar>
              <w:top w:w="80" w:type="dxa"/>
              <w:left w:w="120" w:type="dxa"/>
              <w:bottom w:w="80" w:type="dxa"/>
              <w:right w:w="120" w:type="dxa"/>
            </w:tcMar>
          </w:tcPr>
          <w:p w14:paraId="5EAB9F61" w14:textId="77777777" w:rsidR="00AB5274" w:rsidRPr="00595A8F" w:rsidRDefault="00000000">
            <w:pPr>
              <w:rPr>
                <w:rFonts w:ascii="Aptos" w:hAnsi="Aptos"/>
              </w:rPr>
            </w:pPr>
            <w:r w:rsidRPr="00595A8F">
              <w:rPr>
                <w:rFonts w:ascii="Aptos" w:hAnsi="Aptos"/>
                <w:sz w:val="20"/>
                <w:szCs w:val="20"/>
              </w:rPr>
              <w:t>Rutgers School of Dental Medicine</w:t>
            </w:r>
          </w:p>
        </w:tc>
      </w:tr>
      <w:tr w:rsidR="00AB5274" w:rsidRPr="00595A8F" w14:paraId="43BF846D" w14:textId="77777777">
        <w:tblPrEx>
          <w:tblCellMar>
            <w:top w:w="0" w:type="dxa"/>
            <w:bottom w:w="0" w:type="dxa"/>
          </w:tblCellMar>
        </w:tblPrEx>
        <w:tc>
          <w:tcPr>
            <w:tcW w:w="4680" w:type="dxa"/>
            <w:tcBorders>
              <w:top w:val="single" w:sz="1" w:space="0" w:color="B7C3CE"/>
              <w:left w:val="single" w:sz="1" w:space="0" w:color="B7C3CE"/>
              <w:bottom w:val="single" w:sz="1" w:space="0" w:color="B7C3CE"/>
              <w:right w:val="single" w:sz="1" w:space="0" w:color="B7C3CE"/>
            </w:tcBorders>
            <w:tcMar>
              <w:top w:w="80" w:type="dxa"/>
              <w:left w:w="120" w:type="dxa"/>
              <w:bottom w:w="80" w:type="dxa"/>
              <w:right w:w="120" w:type="dxa"/>
            </w:tcMar>
          </w:tcPr>
          <w:p w14:paraId="30502DFF" w14:textId="77777777" w:rsidR="00AB5274" w:rsidRPr="00595A8F" w:rsidRDefault="00000000">
            <w:pPr>
              <w:rPr>
                <w:rFonts w:ascii="Aptos" w:hAnsi="Aptos"/>
              </w:rPr>
            </w:pPr>
            <w:r w:rsidRPr="00595A8F">
              <w:rPr>
                <w:rFonts w:ascii="Aptos" w:hAnsi="Aptos"/>
                <w:sz w:val="20"/>
                <w:szCs w:val="20"/>
              </w:rPr>
              <w:t xml:space="preserve">Giovana </w:t>
            </w:r>
            <w:proofErr w:type="spellStart"/>
            <w:r w:rsidRPr="00595A8F">
              <w:rPr>
                <w:rFonts w:ascii="Aptos" w:hAnsi="Aptos"/>
                <w:sz w:val="20"/>
                <w:szCs w:val="20"/>
              </w:rPr>
              <w:t>Anovazzi</w:t>
            </w:r>
            <w:proofErr w:type="spellEnd"/>
          </w:p>
        </w:tc>
        <w:tc>
          <w:tcPr>
            <w:tcW w:w="4680" w:type="dxa"/>
            <w:tcBorders>
              <w:top w:val="single" w:sz="1" w:space="0" w:color="B7C3CE"/>
              <w:left w:val="single" w:sz="1" w:space="0" w:color="B7C3CE"/>
              <w:bottom w:val="single" w:sz="1" w:space="0" w:color="B7C3CE"/>
              <w:right w:val="single" w:sz="1" w:space="0" w:color="B7C3CE"/>
            </w:tcBorders>
            <w:tcMar>
              <w:top w:w="80" w:type="dxa"/>
              <w:left w:w="120" w:type="dxa"/>
              <w:bottom w:w="80" w:type="dxa"/>
              <w:right w:w="120" w:type="dxa"/>
            </w:tcMar>
          </w:tcPr>
          <w:p w14:paraId="0F016655" w14:textId="77777777" w:rsidR="00AB5274" w:rsidRPr="00595A8F" w:rsidRDefault="00000000">
            <w:pPr>
              <w:rPr>
                <w:rFonts w:ascii="Aptos" w:hAnsi="Aptos"/>
              </w:rPr>
            </w:pPr>
            <w:r w:rsidRPr="00595A8F">
              <w:rPr>
                <w:rFonts w:ascii="Aptos" w:hAnsi="Aptos"/>
                <w:sz w:val="20"/>
                <w:szCs w:val="20"/>
              </w:rPr>
              <w:t>University of Michigan School of Dentistry</w:t>
            </w:r>
          </w:p>
        </w:tc>
      </w:tr>
      <w:tr w:rsidR="00AB5274" w:rsidRPr="00595A8F" w14:paraId="37C82BCD" w14:textId="77777777">
        <w:tblPrEx>
          <w:tblCellMar>
            <w:top w:w="0" w:type="dxa"/>
            <w:bottom w:w="0" w:type="dxa"/>
          </w:tblCellMar>
        </w:tblPrEx>
        <w:tc>
          <w:tcPr>
            <w:tcW w:w="4680" w:type="dxa"/>
            <w:tcBorders>
              <w:top w:val="single" w:sz="1" w:space="0" w:color="B7C3CE"/>
              <w:left w:val="single" w:sz="1" w:space="0" w:color="B7C3CE"/>
              <w:bottom w:val="single" w:sz="1" w:space="0" w:color="B7C3CE"/>
              <w:right w:val="single" w:sz="1" w:space="0" w:color="B7C3CE"/>
            </w:tcBorders>
            <w:shd w:val="clear" w:color="auto" w:fill="EEF2F7"/>
            <w:tcMar>
              <w:top w:w="80" w:type="dxa"/>
              <w:left w:w="120" w:type="dxa"/>
              <w:bottom w:w="80" w:type="dxa"/>
              <w:right w:w="120" w:type="dxa"/>
            </w:tcMar>
          </w:tcPr>
          <w:p w14:paraId="25481042" w14:textId="77777777" w:rsidR="00AB5274" w:rsidRPr="00595A8F" w:rsidRDefault="00000000">
            <w:pPr>
              <w:rPr>
                <w:rFonts w:ascii="Aptos" w:hAnsi="Aptos"/>
              </w:rPr>
            </w:pPr>
            <w:r w:rsidRPr="00595A8F">
              <w:rPr>
                <w:rFonts w:ascii="Aptos" w:hAnsi="Aptos"/>
                <w:sz w:val="20"/>
                <w:szCs w:val="20"/>
              </w:rPr>
              <w:t>Yiping Han</w:t>
            </w:r>
          </w:p>
        </w:tc>
        <w:tc>
          <w:tcPr>
            <w:tcW w:w="4680" w:type="dxa"/>
            <w:tcBorders>
              <w:top w:val="single" w:sz="1" w:space="0" w:color="B7C3CE"/>
              <w:left w:val="single" w:sz="1" w:space="0" w:color="B7C3CE"/>
              <w:bottom w:val="single" w:sz="1" w:space="0" w:color="B7C3CE"/>
              <w:right w:val="single" w:sz="1" w:space="0" w:color="B7C3CE"/>
            </w:tcBorders>
            <w:shd w:val="clear" w:color="auto" w:fill="EEF2F7"/>
            <w:tcMar>
              <w:top w:w="80" w:type="dxa"/>
              <w:left w:w="120" w:type="dxa"/>
              <w:bottom w:w="80" w:type="dxa"/>
              <w:right w:w="120" w:type="dxa"/>
            </w:tcMar>
          </w:tcPr>
          <w:p w14:paraId="58A47277" w14:textId="77777777" w:rsidR="00AB5274" w:rsidRPr="00595A8F" w:rsidRDefault="00000000">
            <w:pPr>
              <w:rPr>
                <w:rFonts w:ascii="Aptos" w:hAnsi="Aptos"/>
              </w:rPr>
            </w:pPr>
            <w:r w:rsidRPr="00595A8F">
              <w:rPr>
                <w:rFonts w:ascii="Aptos" w:hAnsi="Aptos"/>
                <w:sz w:val="20"/>
                <w:szCs w:val="20"/>
              </w:rPr>
              <w:t>Columbia University, College of Dental Medicine</w:t>
            </w:r>
          </w:p>
        </w:tc>
      </w:tr>
      <w:tr w:rsidR="00AB5274" w:rsidRPr="00595A8F" w14:paraId="7B081BA4" w14:textId="77777777">
        <w:tblPrEx>
          <w:tblCellMar>
            <w:top w:w="0" w:type="dxa"/>
            <w:bottom w:w="0" w:type="dxa"/>
          </w:tblCellMar>
        </w:tblPrEx>
        <w:tc>
          <w:tcPr>
            <w:tcW w:w="4680" w:type="dxa"/>
            <w:tcBorders>
              <w:top w:val="single" w:sz="1" w:space="0" w:color="B7C3CE"/>
              <w:left w:val="single" w:sz="1" w:space="0" w:color="B7C3CE"/>
              <w:bottom w:val="single" w:sz="1" w:space="0" w:color="B7C3CE"/>
              <w:right w:val="single" w:sz="1" w:space="0" w:color="B7C3CE"/>
            </w:tcBorders>
            <w:tcMar>
              <w:top w:w="80" w:type="dxa"/>
              <w:left w:w="120" w:type="dxa"/>
              <w:bottom w:w="80" w:type="dxa"/>
              <w:right w:w="120" w:type="dxa"/>
            </w:tcMar>
          </w:tcPr>
          <w:p w14:paraId="154538E2" w14:textId="70652B89" w:rsidR="00AB5274" w:rsidRPr="00595A8F" w:rsidRDefault="00000000">
            <w:pPr>
              <w:rPr>
                <w:rFonts w:ascii="Aptos" w:hAnsi="Aptos"/>
              </w:rPr>
            </w:pPr>
            <w:r w:rsidRPr="00595A8F">
              <w:rPr>
                <w:rFonts w:ascii="Aptos" w:hAnsi="Aptos"/>
                <w:sz w:val="20"/>
                <w:szCs w:val="20"/>
              </w:rPr>
              <w:t>Rafael Pacheco</w:t>
            </w:r>
          </w:p>
        </w:tc>
        <w:tc>
          <w:tcPr>
            <w:tcW w:w="4680" w:type="dxa"/>
            <w:tcBorders>
              <w:top w:val="single" w:sz="1" w:space="0" w:color="B7C3CE"/>
              <w:left w:val="single" w:sz="1" w:space="0" w:color="B7C3CE"/>
              <w:bottom w:val="single" w:sz="1" w:space="0" w:color="B7C3CE"/>
              <w:right w:val="single" w:sz="1" w:space="0" w:color="B7C3CE"/>
            </w:tcBorders>
            <w:tcMar>
              <w:top w:w="80" w:type="dxa"/>
              <w:left w:w="120" w:type="dxa"/>
              <w:bottom w:w="80" w:type="dxa"/>
              <w:right w:w="120" w:type="dxa"/>
            </w:tcMar>
          </w:tcPr>
          <w:p w14:paraId="1BA3EEAD" w14:textId="77777777" w:rsidR="00AB5274" w:rsidRPr="00595A8F" w:rsidRDefault="00000000">
            <w:pPr>
              <w:rPr>
                <w:rFonts w:ascii="Aptos" w:hAnsi="Aptos"/>
              </w:rPr>
            </w:pPr>
            <w:r w:rsidRPr="00595A8F">
              <w:rPr>
                <w:rFonts w:ascii="Aptos" w:hAnsi="Aptos"/>
                <w:sz w:val="20"/>
                <w:szCs w:val="20"/>
              </w:rPr>
              <w:t>Augusta University, Dental College of Georgia</w:t>
            </w:r>
          </w:p>
        </w:tc>
      </w:tr>
    </w:tbl>
    <w:p w14:paraId="011956A5" w14:textId="77777777" w:rsidR="00AB5274" w:rsidRPr="00595A8F" w:rsidRDefault="00000000">
      <w:pPr>
        <w:pStyle w:val="Heading1"/>
        <w:rPr>
          <w:rFonts w:ascii="Aptos" w:hAnsi="Aptos"/>
        </w:rPr>
      </w:pPr>
      <w:r w:rsidRPr="00595A8F">
        <w:rPr>
          <w:rFonts w:ascii="Aptos" w:hAnsi="Aptos"/>
        </w:rPr>
        <w:t>Interviewees by Position</w:t>
      </w:r>
    </w:p>
    <w:p w14:paraId="441DB95B" w14:textId="77777777" w:rsidR="00AB5274" w:rsidRPr="00595A8F" w:rsidRDefault="00000000">
      <w:pPr>
        <w:spacing w:after="160" w:line="276" w:lineRule="auto"/>
        <w:rPr>
          <w:rFonts w:ascii="Aptos" w:hAnsi="Aptos"/>
        </w:rPr>
      </w:pPr>
      <w:r w:rsidRPr="00595A8F">
        <w:rPr>
          <w:rFonts w:ascii="Aptos" w:hAnsi="Aptos"/>
        </w:rPr>
        <w:t>Twenty-six interviews were conducted across five parent institutions and the dental profession. Per ADEA guidelines, interviewees are listed by position only; where more than one person held a position, the count appears in parentheses.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00"/>
        <w:gridCol w:w="2160"/>
      </w:tblGrid>
      <w:tr w:rsidR="00AB5274" w:rsidRPr="00595A8F" w14:paraId="0D083E9F" w14:textId="77777777">
        <w:tblPrEx>
          <w:tblCellMar>
            <w:top w:w="0" w:type="dxa"/>
            <w:bottom w:w="0" w:type="dxa"/>
          </w:tblCellMar>
        </w:tblPrEx>
        <w:trPr>
          <w:tblHeader/>
        </w:trPr>
        <w:tc>
          <w:tcPr>
            <w:tcW w:w="7200" w:type="dxa"/>
            <w:tcBorders>
              <w:top w:val="single" w:sz="1" w:space="0" w:color="B7C3CE"/>
              <w:left w:val="single" w:sz="1" w:space="0" w:color="B7C3CE"/>
              <w:bottom w:val="single" w:sz="1" w:space="0" w:color="B7C3CE"/>
              <w:right w:val="single" w:sz="1" w:space="0" w:color="B7C3CE"/>
            </w:tcBorders>
            <w:shd w:val="clear" w:color="auto" w:fill="1F3864"/>
            <w:tcMar>
              <w:top w:w="80" w:type="dxa"/>
              <w:left w:w="120" w:type="dxa"/>
              <w:bottom w:w="80" w:type="dxa"/>
              <w:right w:w="120" w:type="dxa"/>
            </w:tcMar>
          </w:tcPr>
          <w:p w14:paraId="435CA17D" w14:textId="77777777" w:rsidR="00AB5274" w:rsidRPr="00595A8F" w:rsidRDefault="00000000">
            <w:pPr>
              <w:rPr>
                <w:rFonts w:ascii="Aptos" w:hAnsi="Aptos"/>
              </w:rPr>
            </w:pPr>
            <w:r w:rsidRPr="00595A8F">
              <w:rPr>
                <w:rFonts w:ascii="Aptos" w:hAnsi="Aptos"/>
                <w:b/>
                <w:bCs/>
                <w:color w:val="FFFFFF"/>
                <w:sz w:val="20"/>
                <w:szCs w:val="20"/>
              </w:rPr>
              <w:t>Position</w:t>
            </w:r>
          </w:p>
        </w:tc>
        <w:tc>
          <w:tcPr>
            <w:tcW w:w="2160" w:type="dxa"/>
            <w:tcBorders>
              <w:top w:val="single" w:sz="1" w:space="0" w:color="B7C3CE"/>
              <w:left w:val="single" w:sz="1" w:space="0" w:color="B7C3CE"/>
              <w:bottom w:val="single" w:sz="1" w:space="0" w:color="B7C3CE"/>
              <w:right w:val="single" w:sz="1" w:space="0" w:color="B7C3CE"/>
            </w:tcBorders>
            <w:shd w:val="clear" w:color="auto" w:fill="1F3864"/>
            <w:tcMar>
              <w:top w:w="80" w:type="dxa"/>
              <w:left w:w="120" w:type="dxa"/>
              <w:bottom w:w="80" w:type="dxa"/>
              <w:right w:w="120" w:type="dxa"/>
            </w:tcMar>
          </w:tcPr>
          <w:p w14:paraId="53AC1E03" w14:textId="77777777" w:rsidR="00AB5274" w:rsidRPr="00595A8F" w:rsidRDefault="00000000">
            <w:pPr>
              <w:rPr>
                <w:rFonts w:ascii="Aptos" w:hAnsi="Aptos"/>
              </w:rPr>
            </w:pPr>
            <w:r w:rsidRPr="00595A8F">
              <w:rPr>
                <w:rFonts w:ascii="Aptos" w:hAnsi="Aptos"/>
                <w:b/>
                <w:bCs/>
                <w:color w:val="FFFFFF"/>
                <w:sz w:val="20"/>
                <w:szCs w:val="20"/>
              </w:rPr>
              <w:t>Number Interviewed</w:t>
            </w:r>
          </w:p>
        </w:tc>
      </w:tr>
      <w:tr w:rsidR="00AB5274" w:rsidRPr="00595A8F" w14:paraId="23CB09E2" w14:textId="77777777">
        <w:tblPrEx>
          <w:tblCellMar>
            <w:top w:w="0" w:type="dxa"/>
            <w:bottom w:w="0" w:type="dxa"/>
          </w:tblCellMar>
        </w:tblPrEx>
        <w:tc>
          <w:tcPr>
            <w:tcW w:w="7200" w:type="dxa"/>
            <w:tcBorders>
              <w:top w:val="single" w:sz="1" w:space="0" w:color="B7C3CE"/>
              <w:left w:val="single" w:sz="1" w:space="0" w:color="B7C3CE"/>
              <w:bottom w:val="single" w:sz="1" w:space="0" w:color="B7C3CE"/>
              <w:right w:val="single" w:sz="1" w:space="0" w:color="B7C3CE"/>
            </w:tcBorders>
            <w:tcMar>
              <w:top w:w="80" w:type="dxa"/>
              <w:left w:w="120" w:type="dxa"/>
              <w:bottom w:w="80" w:type="dxa"/>
              <w:right w:w="120" w:type="dxa"/>
            </w:tcMar>
          </w:tcPr>
          <w:p w14:paraId="105711F6" w14:textId="77777777" w:rsidR="00AB5274" w:rsidRPr="00595A8F" w:rsidRDefault="00000000">
            <w:pPr>
              <w:rPr>
                <w:rFonts w:ascii="Aptos" w:hAnsi="Aptos"/>
              </w:rPr>
            </w:pPr>
            <w:r w:rsidRPr="00595A8F">
              <w:rPr>
                <w:rFonts w:ascii="Aptos" w:hAnsi="Aptos"/>
                <w:sz w:val="20"/>
                <w:szCs w:val="20"/>
              </w:rPr>
              <w:t>University President</w:t>
            </w:r>
          </w:p>
        </w:tc>
        <w:tc>
          <w:tcPr>
            <w:tcW w:w="2160" w:type="dxa"/>
            <w:tcBorders>
              <w:top w:val="single" w:sz="1" w:space="0" w:color="B7C3CE"/>
              <w:left w:val="single" w:sz="1" w:space="0" w:color="B7C3CE"/>
              <w:bottom w:val="single" w:sz="1" w:space="0" w:color="B7C3CE"/>
              <w:right w:val="single" w:sz="1" w:space="0" w:color="B7C3CE"/>
            </w:tcBorders>
            <w:tcMar>
              <w:top w:w="80" w:type="dxa"/>
              <w:left w:w="120" w:type="dxa"/>
              <w:bottom w:w="80" w:type="dxa"/>
              <w:right w:w="120" w:type="dxa"/>
            </w:tcMar>
          </w:tcPr>
          <w:p w14:paraId="7758C6AE" w14:textId="77777777" w:rsidR="00AB5274" w:rsidRPr="00595A8F" w:rsidRDefault="00000000">
            <w:pPr>
              <w:jc w:val="center"/>
              <w:rPr>
                <w:rFonts w:ascii="Aptos" w:hAnsi="Aptos"/>
              </w:rPr>
            </w:pPr>
            <w:r w:rsidRPr="00595A8F">
              <w:rPr>
                <w:rFonts w:ascii="Aptos" w:hAnsi="Aptos"/>
                <w:sz w:val="20"/>
                <w:szCs w:val="20"/>
              </w:rPr>
              <w:t>(1)</w:t>
            </w:r>
          </w:p>
        </w:tc>
      </w:tr>
      <w:tr w:rsidR="00AB5274" w:rsidRPr="00595A8F" w14:paraId="394C7995" w14:textId="77777777">
        <w:tblPrEx>
          <w:tblCellMar>
            <w:top w:w="0" w:type="dxa"/>
            <w:bottom w:w="0" w:type="dxa"/>
          </w:tblCellMar>
        </w:tblPrEx>
        <w:tc>
          <w:tcPr>
            <w:tcW w:w="7200" w:type="dxa"/>
            <w:tcBorders>
              <w:top w:val="single" w:sz="1" w:space="0" w:color="B7C3CE"/>
              <w:left w:val="single" w:sz="1" w:space="0" w:color="B7C3CE"/>
              <w:bottom w:val="single" w:sz="1" w:space="0" w:color="B7C3CE"/>
              <w:right w:val="single" w:sz="1" w:space="0" w:color="B7C3CE"/>
            </w:tcBorders>
            <w:shd w:val="clear" w:color="auto" w:fill="EEF2F7"/>
            <w:tcMar>
              <w:top w:w="80" w:type="dxa"/>
              <w:left w:w="120" w:type="dxa"/>
              <w:bottom w:w="80" w:type="dxa"/>
              <w:right w:w="120" w:type="dxa"/>
            </w:tcMar>
          </w:tcPr>
          <w:p w14:paraId="3F46E291" w14:textId="77777777" w:rsidR="00AB5274" w:rsidRPr="00595A8F" w:rsidRDefault="00000000">
            <w:pPr>
              <w:rPr>
                <w:rFonts w:ascii="Aptos" w:hAnsi="Aptos"/>
              </w:rPr>
            </w:pPr>
            <w:r w:rsidRPr="00595A8F">
              <w:rPr>
                <w:rFonts w:ascii="Aptos" w:hAnsi="Aptos"/>
                <w:sz w:val="20"/>
                <w:szCs w:val="20"/>
              </w:rPr>
              <w:t>Provost / Chancellor for Academic Affairs</w:t>
            </w:r>
          </w:p>
        </w:tc>
        <w:tc>
          <w:tcPr>
            <w:tcW w:w="2160" w:type="dxa"/>
            <w:tcBorders>
              <w:top w:val="single" w:sz="1" w:space="0" w:color="B7C3CE"/>
              <w:left w:val="single" w:sz="1" w:space="0" w:color="B7C3CE"/>
              <w:bottom w:val="single" w:sz="1" w:space="0" w:color="B7C3CE"/>
              <w:right w:val="single" w:sz="1" w:space="0" w:color="B7C3CE"/>
            </w:tcBorders>
            <w:shd w:val="clear" w:color="auto" w:fill="EEF2F7"/>
            <w:tcMar>
              <w:top w:w="80" w:type="dxa"/>
              <w:left w:w="120" w:type="dxa"/>
              <w:bottom w:w="80" w:type="dxa"/>
              <w:right w:w="120" w:type="dxa"/>
            </w:tcMar>
          </w:tcPr>
          <w:p w14:paraId="1D6EA8BF" w14:textId="77777777" w:rsidR="00AB5274" w:rsidRPr="00595A8F" w:rsidRDefault="00000000">
            <w:pPr>
              <w:jc w:val="center"/>
              <w:rPr>
                <w:rFonts w:ascii="Aptos" w:hAnsi="Aptos"/>
              </w:rPr>
            </w:pPr>
            <w:r w:rsidRPr="00595A8F">
              <w:rPr>
                <w:rFonts w:ascii="Aptos" w:hAnsi="Aptos"/>
                <w:sz w:val="20"/>
                <w:szCs w:val="20"/>
              </w:rPr>
              <w:t>(5)</w:t>
            </w:r>
          </w:p>
        </w:tc>
      </w:tr>
      <w:tr w:rsidR="00AB5274" w:rsidRPr="00595A8F" w14:paraId="24071D0E" w14:textId="77777777">
        <w:tblPrEx>
          <w:tblCellMar>
            <w:top w:w="0" w:type="dxa"/>
            <w:bottom w:w="0" w:type="dxa"/>
          </w:tblCellMar>
        </w:tblPrEx>
        <w:tc>
          <w:tcPr>
            <w:tcW w:w="7200" w:type="dxa"/>
            <w:tcBorders>
              <w:top w:val="single" w:sz="1" w:space="0" w:color="B7C3CE"/>
              <w:left w:val="single" w:sz="1" w:space="0" w:color="B7C3CE"/>
              <w:bottom w:val="single" w:sz="1" w:space="0" w:color="B7C3CE"/>
              <w:right w:val="single" w:sz="1" w:space="0" w:color="B7C3CE"/>
            </w:tcBorders>
            <w:tcMar>
              <w:top w:w="80" w:type="dxa"/>
              <w:left w:w="120" w:type="dxa"/>
              <w:bottom w:w="80" w:type="dxa"/>
              <w:right w:w="120" w:type="dxa"/>
            </w:tcMar>
          </w:tcPr>
          <w:p w14:paraId="45E12CEF" w14:textId="77777777" w:rsidR="00AB5274" w:rsidRPr="00595A8F" w:rsidRDefault="00000000">
            <w:pPr>
              <w:rPr>
                <w:rFonts w:ascii="Aptos" w:hAnsi="Aptos"/>
              </w:rPr>
            </w:pPr>
            <w:r w:rsidRPr="00595A8F">
              <w:rPr>
                <w:rFonts w:ascii="Aptos" w:hAnsi="Aptos"/>
                <w:sz w:val="20"/>
                <w:szCs w:val="20"/>
              </w:rPr>
              <w:t>Vice President / Vice Chancellor for Research</w:t>
            </w:r>
          </w:p>
        </w:tc>
        <w:tc>
          <w:tcPr>
            <w:tcW w:w="2160" w:type="dxa"/>
            <w:tcBorders>
              <w:top w:val="single" w:sz="1" w:space="0" w:color="B7C3CE"/>
              <w:left w:val="single" w:sz="1" w:space="0" w:color="B7C3CE"/>
              <w:bottom w:val="single" w:sz="1" w:space="0" w:color="B7C3CE"/>
              <w:right w:val="single" w:sz="1" w:space="0" w:color="B7C3CE"/>
            </w:tcBorders>
            <w:tcMar>
              <w:top w:w="80" w:type="dxa"/>
              <w:left w:w="120" w:type="dxa"/>
              <w:bottom w:w="80" w:type="dxa"/>
              <w:right w:w="120" w:type="dxa"/>
            </w:tcMar>
          </w:tcPr>
          <w:p w14:paraId="6A85A490" w14:textId="77777777" w:rsidR="00AB5274" w:rsidRPr="00595A8F" w:rsidRDefault="00000000">
            <w:pPr>
              <w:jc w:val="center"/>
              <w:rPr>
                <w:rFonts w:ascii="Aptos" w:hAnsi="Aptos"/>
              </w:rPr>
            </w:pPr>
            <w:r w:rsidRPr="00595A8F">
              <w:rPr>
                <w:rFonts w:ascii="Aptos" w:hAnsi="Aptos"/>
                <w:sz w:val="20"/>
                <w:szCs w:val="20"/>
              </w:rPr>
              <w:t>(5)</w:t>
            </w:r>
          </w:p>
        </w:tc>
      </w:tr>
      <w:tr w:rsidR="00AB5274" w:rsidRPr="00595A8F" w14:paraId="3E283728" w14:textId="77777777">
        <w:tblPrEx>
          <w:tblCellMar>
            <w:top w:w="0" w:type="dxa"/>
            <w:bottom w:w="0" w:type="dxa"/>
          </w:tblCellMar>
        </w:tblPrEx>
        <w:tc>
          <w:tcPr>
            <w:tcW w:w="7200" w:type="dxa"/>
            <w:tcBorders>
              <w:top w:val="single" w:sz="1" w:space="0" w:color="B7C3CE"/>
              <w:left w:val="single" w:sz="1" w:space="0" w:color="B7C3CE"/>
              <w:bottom w:val="single" w:sz="1" w:space="0" w:color="B7C3CE"/>
              <w:right w:val="single" w:sz="1" w:space="0" w:color="B7C3CE"/>
            </w:tcBorders>
            <w:shd w:val="clear" w:color="auto" w:fill="EEF2F7"/>
            <w:tcMar>
              <w:top w:w="80" w:type="dxa"/>
              <w:left w:w="120" w:type="dxa"/>
              <w:bottom w:w="80" w:type="dxa"/>
              <w:right w:w="120" w:type="dxa"/>
            </w:tcMar>
          </w:tcPr>
          <w:p w14:paraId="3FF2556A" w14:textId="77777777" w:rsidR="00AB5274" w:rsidRPr="00595A8F" w:rsidRDefault="00000000">
            <w:pPr>
              <w:rPr>
                <w:rFonts w:ascii="Aptos" w:hAnsi="Aptos"/>
              </w:rPr>
            </w:pPr>
            <w:r w:rsidRPr="00595A8F">
              <w:rPr>
                <w:rFonts w:ascii="Aptos" w:hAnsi="Aptos"/>
                <w:sz w:val="20"/>
                <w:szCs w:val="20"/>
              </w:rPr>
              <w:t>Vice President / Vice Provost for Academic Affairs</w:t>
            </w:r>
          </w:p>
        </w:tc>
        <w:tc>
          <w:tcPr>
            <w:tcW w:w="2160" w:type="dxa"/>
            <w:tcBorders>
              <w:top w:val="single" w:sz="1" w:space="0" w:color="B7C3CE"/>
              <w:left w:val="single" w:sz="1" w:space="0" w:color="B7C3CE"/>
              <w:bottom w:val="single" w:sz="1" w:space="0" w:color="B7C3CE"/>
              <w:right w:val="single" w:sz="1" w:space="0" w:color="B7C3CE"/>
            </w:tcBorders>
            <w:shd w:val="clear" w:color="auto" w:fill="EEF2F7"/>
            <w:tcMar>
              <w:top w:w="80" w:type="dxa"/>
              <w:left w:w="120" w:type="dxa"/>
              <w:bottom w:w="80" w:type="dxa"/>
              <w:right w:w="120" w:type="dxa"/>
            </w:tcMar>
          </w:tcPr>
          <w:p w14:paraId="4EC3873E" w14:textId="77777777" w:rsidR="00AB5274" w:rsidRPr="00595A8F" w:rsidRDefault="00000000">
            <w:pPr>
              <w:jc w:val="center"/>
              <w:rPr>
                <w:rFonts w:ascii="Aptos" w:hAnsi="Aptos"/>
              </w:rPr>
            </w:pPr>
            <w:r w:rsidRPr="00595A8F">
              <w:rPr>
                <w:rFonts w:ascii="Aptos" w:hAnsi="Aptos"/>
                <w:sz w:val="20"/>
                <w:szCs w:val="20"/>
              </w:rPr>
              <w:t>(4)</w:t>
            </w:r>
          </w:p>
        </w:tc>
      </w:tr>
      <w:tr w:rsidR="00AB5274" w:rsidRPr="00595A8F" w14:paraId="2E9E6581" w14:textId="77777777">
        <w:tblPrEx>
          <w:tblCellMar>
            <w:top w:w="0" w:type="dxa"/>
            <w:bottom w:w="0" w:type="dxa"/>
          </w:tblCellMar>
        </w:tblPrEx>
        <w:tc>
          <w:tcPr>
            <w:tcW w:w="7200" w:type="dxa"/>
            <w:tcBorders>
              <w:top w:val="single" w:sz="1" w:space="0" w:color="B7C3CE"/>
              <w:left w:val="single" w:sz="1" w:space="0" w:color="B7C3CE"/>
              <w:bottom w:val="single" w:sz="1" w:space="0" w:color="B7C3CE"/>
              <w:right w:val="single" w:sz="1" w:space="0" w:color="B7C3CE"/>
            </w:tcBorders>
            <w:tcMar>
              <w:top w:w="80" w:type="dxa"/>
              <w:left w:w="120" w:type="dxa"/>
              <w:bottom w:w="80" w:type="dxa"/>
              <w:right w:w="120" w:type="dxa"/>
            </w:tcMar>
          </w:tcPr>
          <w:p w14:paraId="27D8C702" w14:textId="77777777" w:rsidR="00AB5274" w:rsidRPr="00595A8F" w:rsidRDefault="00000000">
            <w:pPr>
              <w:rPr>
                <w:rFonts w:ascii="Aptos" w:hAnsi="Aptos"/>
              </w:rPr>
            </w:pPr>
            <w:r w:rsidRPr="00595A8F">
              <w:rPr>
                <w:rFonts w:ascii="Aptos" w:hAnsi="Aptos"/>
                <w:sz w:val="20"/>
                <w:szCs w:val="20"/>
              </w:rPr>
              <w:t>Vice President / Vice Chancellor for Health Affairs</w:t>
            </w:r>
          </w:p>
        </w:tc>
        <w:tc>
          <w:tcPr>
            <w:tcW w:w="2160" w:type="dxa"/>
            <w:tcBorders>
              <w:top w:val="single" w:sz="1" w:space="0" w:color="B7C3CE"/>
              <w:left w:val="single" w:sz="1" w:space="0" w:color="B7C3CE"/>
              <w:bottom w:val="single" w:sz="1" w:space="0" w:color="B7C3CE"/>
              <w:right w:val="single" w:sz="1" w:space="0" w:color="B7C3CE"/>
            </w:tcBorders>
            <w:tcMar>
              <w:top w:w="80" w:type="dxa"/>
              <w:left w:w="120" w:type="dxa"/>
              <w:bottom w:w="80" w:type="dxa"/>
              <w:right w:w="120" w:type="dxa"/>
            </w:tcMar>
          </w:tcPr>
          <w:p w14:paraId="42576A86" w14:textId="77777777" w:rsidR="00AB5274" w:rsidRPr="00595A8F" w:rsidRDefault="00000000">
            <w:pPr>
              <w:jc w:val="center"/>
              <w:rPr>
                <w:rFonts w:ascii="Aptos" w:hAnsi="Aptos"/>
              </w:rPr>
            </w:pPr>
            <w:r w:rsidRPr="00595A8F">
              <w:rPr>
                <w:rFonts w:ascii="Aptos" w:hAnsi="Aptos"/>
                <w:sz w:val="20"/>
                <w:szCs w:val="20"/>
              </w:rPr>
              <w:t>(2)</w:t>
            </w:r>
          </w:p>
        </w:tc>
      </w:tr>
      <w:tr w:rsidR="00AB5274" w:rsidRPr="00595A8F" w14:paraId="1BFA4865" w14:textId="77777777">
        <w:tblPrEx>
          <w:tblCellMar>
            <w:top w:w="0" w:type="dxa"/>
            <w:bottom w:w="0" w:type="dxa"/>
          </w:tblCellMar>
        </w:tblPrEx>
        <w:tc>
          <w:tcPr>
            <w:tcW w:w="7200" w:type="dxa"/>
            <w:tcBorders>
              <w:top w:val="single" w:sz="1" w:space="0" w:color="B7C3CE"/>
              <w:left w:val="single" w:sz="1" w:space="0" w:color="B7C3CE"/>
              <w:bottom w:val="single" w:sz="1" w:space="0" w:color="B7C3CE"/>
              <w:right w:val="single" w:sz="1" w:space="0" w:color="B7C3CE"/>
            </w:tcBorders>
            <w:shd w:val="clear" w:color="auto" w:fill="EEF2F7"/>
            <w:tcMar>
              <w:top w:w="80" w:type="dxa"/>
              <w:left w:w="120" w:type="dxa"/>
              <w:bottom w:w="80" w:type="dxa"/>
              <w:right w:w="120" w:type="dxa"/>
            </w:tcMar>
          </w:tcPr>
          <w:p w14:paraId="0DA8E301" w14:textId="77777777" w:rsidR="00AB5274" w:rsidRPr="00595A8F" w:rsidRDefault="00000000">
            <w:pPr>
              <w:rPr>
                <w:rFonts w:ascii="Aptos" w:hAnsi="Aptos"/>
              </w:rPr>
            </w:pPr>
            <w:r w:rsidRPr="00595A8F">
              <w:rPr>
                <w:rFonts w:ascii="Aptos" w:hAnsi="Aptos"/>
                <w:sz w:val="20"/>
                <w:szCs w:val="20"/>
              </w:rPr>
              <w:t>Senior Vice Chancellor for Finance / Chief Financial Officer (elective)</w:t>
            </w:r>
          </w:p>
        </w:tc>
        <w:tc>
          <w:tcPr>
            <w:tcW w:w="2160" w:type="dxa"/>
            <w:tcBorders>
              <w:top w:val="single" w:sz="1" w:space="0" w:color="B7C3CE"/>
              <w:left w:val="single" w:sz="1" w:space="0" w:color="B7C3CE"/>
              <w:bottom w:val="single" w:sz="1" w:space="0" w:color="B7C3CE"/>
              <w:right w:val="single" w:sz="1" w:space="0" w:color="B7C3CE"/>
            </w:tcBorders>
            <w:shd w:val="clear" w:color="auto" w:fill="EEF2F7"/>
            <w:tcMar>
              <w:top w:w="80" w:type="dxa"/>
              <w:left w:w="120" w:type="dxa"/>
              <w:bottom w:w="80" w:type="dxa"/>
              <w:right w:w="120" w:type="dxa"/>
            </w:tcMar>
          </w:tcPr>
          <w:p w14:paraId="23194860" w14:textId="77777777" w:rsidR="00AB5274" w:rsidRPr="00595A8F" w:rsidRDefault="00000000">
            <w:pPr>
              <w:jc w:val="center"/>
              <w:rPr>
                <w:rFonts w:ascii="Aptos" w:hAnsi="Aptos"/>
              </w:rPr>
            </w:pPr>
            <w:r w:rsidRPr="00595A8F">
              <w:rPr>
                <w:rFonts w:ascii="Aptos" w:hAnsi="Aptos"/>
                <w:sz w:val="20"/>
                <w:szCs w:val="20"/>
              </w:rPr>
              <w:t>(1)</w:t>
            </w:r>
          </w:p>
        </w:tc>
      </w:tr>
      <w:tr w:rsidR="00AB5274" w:rsidRPr="00595A8F" w14:paraId="38E6BE9B" w14:textId="77777777">
        <w:tblPrEx>
          <w:tblCellMar>
            <w:top w:w="0" w:type="dxa"/>
            <w:bottom w:w="0" w:type="dxa"/>
          </w:tblCellMar>
        </w:tblPrEx>
        <w:tc>
          <w:tcPr>
            <w:tcW w:w="7200" w:type="dxa"/>
            <w:tcBorders>
              <w:top w:val="single" w:sz="1" w:space="0" w:color="B7C3CE"/>
              <w:left w:val="single" w:sz="1" w:space="0" w:color="B7C3CE"/>
              <w:bottom w:val="single" w:sz="1" w:space="0" w:color="B7C3CE"/>
              <w:right w:val="single" w:sz="1" w:space="0" w:color="B7C3CE"/>
            </w:tcBorders>
            <w:tcMar>
              <w:top w:w="80" w:type="dxa"/>
              <w:left w:w="120" w:type="dxa"/>
              <w:bottom w:w="80" w:type="dxa"/>
              <w:right w:w="120" w:type="dxa"/>
            </w:tcMar>
          </w:tcPr>
          <w:p w14:paraId="6BB80309" w14:textId="77777777" w:rsidR="00AB5274" w:rsidRPr="00595A8F" w:rsidRDefault="00000000">
            <w:pPr>
              <w:rPr>
                <w:rFonts w:ascii="Aptos" w:hAnsi="Aptos"/>
              </w:rPr>
            </w:pPr>
            <w:r w:rsidRPr="00595A8F">
              <w:rPr>
                <w:rFonts w:ascii="Aptos" w:hAnsi="Aptos"/>
                <w:sz w:val="20"/>
                <w:szCs w:val="20"/>
              </w:rPr>
              <w:t>ADA District Trustee</w:t>
            </w:r>
          </w:p>
        </w:tc>
        <w:tc>
          <w:tcPr>
            <w:tcW w:w="2160" w:type="dxa"/>
            <w:tcBorders>
              <w:top w:val="single" w:sz="1" w:space="0" w:color="B7C3CE"/>
              <w:left w:val="single" w:sz="1" w:space="0" w:color="B7C3CE"/>
              <w:bottom w:val="single" w:sz="1" w:space="0" w:color="B7C3CE"/>
              <w:right w:val="single" w:sz="1" w:space="0" w:color="B7C3CE"/>
            </w:tcBorders>
            <w:tcMar>
              <w:top w:w="80" w:type="dxa"/>
              <w:left w:w="120" w:type="dxa"/>
              <w:bottom w:w="80" w:type="dxa"/>
              <w:right w:w="120" w:type="dxa"/>
            </w:tcMar>
          </w:tcPr>
          <w:p w14:paraId="0D5960E4" w14:textId="77777777" w:rsidR="00AB5274" w:rsidRPr="00595A8F" w:rsidRDefault="00000000">
            <w:pPr>
              <w:jc w:val="center"/>
              <w:rPr>
                <w:rFonts w:ascii="Aptos" w:hAnsi="Aptos"/>
              </w:rPr>
            </w:pPr>
            <w:r w:rsidRPr="00595A8F">
              <w:rPr>
                <w:rFonts w:ascii="Aptos" w:hAnsi="Aptos"/>
                <w:sz w:val="20"/>
                <w:szCs w:val="20"/>
              </w:rPr>
              <w:t>(3)</w:t>
            </w:r>
          </w:p>
        </w:tc>
      </w:tr>
      <w:tr w:rsidR="00AB5274" w:rsidRPr="00595A8F" w14:paraId="46D723EF" w14:textId="77777777">
        <w:tblPrEx>
          <w:tblCellMar>
            <w:top w:w="0" w:type="dxa"/>
            <w:bottom w:w="0" w:type="dxa"/>
          </w:tblCellMar>
        </w:tblPrEx>
        <w:tc>
          <w:tcPr>
            <w:tcW w:w="7200" w:type="dxa"/>
            <w:tcBorders>
              <w:top w:val="single" w:sz="1" w:space="0" w:color="B7C3CE"/>
              <w:left w:val="single" w:sz="1" w:space="0" w:color="B7C3CE"/>
              <w:bottom w:val="single" w:sz="1" w:space="0" w:color="B7C3CE"/>
              <w:right w:val="single" w:sz="1" w:space="0" w:color="B7C3CE"/>
            </w:tcBorders>
            <w:shd w:val="clear" w:color="auto" w:fill="EEF2F7"/>
            <w:tcMar>
              <w:top w:w="80" w:type="dxa"/>
              <w:left w:w="120" w:type="dxa"/>
              <w:bottom w:w="80" w:type="dxa"/>
              <w:right w:w="120" w:type="dxa"/>
            </w:tcMar>
          </w:tcPr>
          <w:p w14:paraId="072B077F" w14:textId="77777777" w:rsidR="00AB5274" w:rsidRPr="00595A8F" w:rsidRDefault="00000000">
            <w:pPr>
              <w:rPr>
                <w:rFonts w:ascii="Aptos" w:hAnsi="Aptos"/>
              </w:rPr>
            </w:pPr>
            <w:r w:rsidRPr="00595A8F">
              <w:rPr>
                <w:rFonts w:ascii="Aptos" w:hAnsi="Aptos"/>
                <w:sz w:val="20"/>
                <w:szCs w:val="20"/>
              </w:rPr>
              <w:lastRenderedPageBreak/>
              <w:t>Executive Director, State Dental Society</w:t>
            </w:r>
          </w:p>
        </w:tc>
        <w:tc>
          <w:tcPr>
            <w:tcW w:w="2160" w:type="dxa"/>
            <w:tcBorders>
              <w:top w:val="single" w:sz="1" w:space="0" w:color="B7C3CE"/>
              <w:left w:val="single" w:sz="1" w:space="0" w:color="B7C3CE"/>
              <w:bottom w:val="single" w:sz="1" w:space="0" w:color="B7C3CE"/>
              <w:right w:val="single" w:sz="1" w:space="0" w:color="B7C3CE"/>
            </w:tcBorders>
            <w:shd w:val="clear" w:color="auto" w:fill="EEF2F7"/>
            <w:tcMar>
              <w:top w:w="80" w:type="dxa"/>
              <w:left w:w="120" w:type="dxa"/>
              <w:bottom w:w="80" w:type="dxa"/>
              <w:right w:w="120" w:type="dxa"/>
            </w:tcMar>
          </w:tcPr>
          <w:p w14:paraId="18CB35AE" w14:textId="77777777" w:rsidR="00AB5274" w:rsidRPr="00595A8F" w:rsidRDefault="00000000">
            <w:pPr>
              <w:jc w:val="center"/>
              <w:rPr>
                <w:rFonts w:ascii="Aptos" w:hAnsi="Aptos"/>
              </w:rPr>
            </w:pPr>
            <w:r w:rsidRPr="00595A8F">
              <w:rPr>
                <w:rFonts w:ascii="Aptos" w:hAnsi="Aptos"/>
                <w:sz w:val="20"/>
                <w:szCs w:val="20"/>
              </w:rPr>
              <w:t>(5)</w:t>
            </w:r>
          </w:p>
        </w:tc>
      </w:tr>
    </w:tbl>
    <w:p w14:paraId="468A6BDA" w14:textId="77777777" w:rsidR="00AB5274" w:rsidRPr="00595A8F" w:rsidRDefault="00000000">
      <w:pPr>
        <w:spacing w:after="200" w:line="276" w:lineRule="auto"/>
        <w:rPr>
          <w:rFonts w:ascii="Aptos" w:hAnsi="Aptos"/>
        </w:rPr>
      </w:pPr>
      <w:r w:rsidRPr="00595A8F">
        <w:rPr>
          <w:rFonts w:ascii="Aptos" w:hAnsi="Aptos"/>
          <w:b/>
          <w:bCs/>
          <w:i/>
          <w:iCs/>
          <w:sz w:val="20"/>
          <w:szCs w:val="20"/>
        </w:rPr>
        <w:t xml:space="preserve">Note: </w:t>
      </w:r>
      <w:r w:rsidRPr="00595A8F">
        <w:rPr>
          <w:rFonts w:ascii="Aptos" w:hAnsi="Aptos"/>
          <w:i/>
          <w:iCs/>
          <w:sz w:val="20"/>
          <w:szCs w:val="20"/>
        </w:rPr>
        <w:t>At two institutions, a single executive held dual portfolios and was interviewed in each capacity. At one institution this encompassed the Health Affairs and Research portfolios; at another, the Provost and Academic Affairs portfolios. Each dual-role leader is reflected in both corresponding position rows. Accordingly, the twenty-six interviews represent twenty-four unique individuals.</w:t>
      </w:r>
    </w:p>
    <w:p w14:paraId="475876D7" w14:textId="77777777" w:rsidR="00AB5274" w:rsidRPr="00595A8F" w:rsidRDefault="00000000">
      <w:pPr>
        <w:pStyle w:val="Heading1"/>
        <w:rPr>
          <w:rFonts w:ascii="Aptos" w:hAnsi="Aptos"/>
        </w:rPr>
      </w:pPr>
      <w:r w:rsidRPr="00595A8F">
        <w:rPr>
          <w:rFonts w:ascii="Aptos" w:hAnsi="Aptos"/>
        </w:rPr>
        <w:t>Summary of Findings</w:t>
      </w:r>
    </w:p>
    <w:p w14:paraId="27D3FE7B" w14:textId="77777777" w:rsidR="00AB5274" w:rsidRPr="00595A8F" w:rsidRDefault="00000000">
      <w:pPr>
        <w:pStyle w:val="Heading2"/>
        <w:rPr>
          <w:rFonts w:ascii="Aptos" w:hAnsi="Aptos"/>
        </w:rPr>
      </w:pPr>
      <w:r w:rsidRPr="00595A8F">
        <w:rPr>
          <w:rFonts w:ascii="Aptos" w:hAnsi="Aptos"/>
        </w:rPr>
        <w:t>Approach</w:t>
      </w:r>
    </w:p>
    <w:p w14:paraId="0AD68F80" w14:textId="77777777" w:rsidR="00AB5274" w:rsidRPr="00595A8F" w:rsidRDefault="00000000">
      <w:pPr>
        <w:spacing w:after="160" w:line="276" w:lineRule="auto"/>
        <w:rPr>
          <w:rFonts w:ascii="Aptos" w:hAnsi="Aptos"/>
        </w:rPr>
      </w:pPr>
      <w:r w:rsidRPr="00595A8F">
        <w:rPr>
          <w:rFonts w:ascii="Aptos" w:hAnsi="Aptos"/>
        </w:rPr>
        <w:t>During spring 2026, Fellows of the Full Voltage peer group conducted twenty-six structured interviews with senior university leaders and leaders of organized dentistry connected to their home institutions, spanning five parent institutions and five states’ dental societies. Interviews followed a shared protocol of core questions, each addressing the leader’s most important contributions, their perception of the dental school, and the sources of their professional satisfaction, supplemented by position-specific questions. Interviewees fell into two broad groups: parent-institution leaders (a university president, provosts and chancellors, vice presidents and executive vice presidents for research, vice provosts and vice presidents for academic affairs, a vice chancellor for health affairs, and a chief financial officer) and community or professional leaders (ADA district trustees and executive directors of state dental societies). At two institutions a single executive held dual portfolios and was interviewed in both capacities; the twenty-six interviews therefore represent twenty-four unique individuals. The findings below are reported in aggregate, consistent with the confidential nature of the project.</w:t>
      </w:r>
    </w:p>
    <w:p w14:paraId="644BDAAB" w14:textId="77777777" w:rsidR="00AB5274" w:rsidRPr="00595A8F" w:rsidRDefault="00000000">
      <w:pPr>
        <w:pStyle w:val="Heading2"/>
        <w:rPr>
          <w:rFonts w:ascii="Aptos" w:hAnsi="Aptos"/>
        </w:rPr>
      </w:pPr>
      <w:r w:rsidRPr="00595A8F">
        <w:rPr>
          <w:rFonts w:ascii="Aptos" w:hAnsi="Aptos"/>
        </w:rPr>
        <w:t>Key Findings</w:t>
      </w:r>
    </w:p>
    <w:p w14:paraId="4D10C2AA" w14:textId="77777777" w:rsidR="00AB5274" w:rsidRPr="00595A8F" w:rsidRDefault="00000000">
      <w:pPr>
        <w:spacing w:after="160" w:line="276" w:lineRule="auto"/>
        <w:rPr>
          <w:rFonts w:ascii="Aptos" w:hAnsi="Aptos"/>
        </w:rPr>
      </w:pPr>
      <w:r w:rsidRPr="00595A8F">
        <w:rPr>
          <w:rFonts w:ascii="Aptos" w:hAnsi="Aptos"/>
          <w:b/>
          <w:bCs/>
        </w:rPr>
        <w:t xml:space="preserve">A uniformly high regard for the dental school, anchored in its service mission and distinctiveness. </w:t>
      </w:r>
      <w:r w:rsidRPr="00595A8F">
        <w:rPr>
          <w:rFonts w:ascii="Aptos" w:hAnsi="Aptos"/>
        </w:rPr>
        <w:t xml:space="preserve">Without exception, university leaders described their dental school in superlative terms: one vice chancellor called the college one of his two “crown jewels”; a provost recalled the chancellor citing its community outreach as a flagship example of institutional mission; a research executive at a fifth institution described first encountering the dental clinic as “very creative and innovative, beyond state-of-the-art.” The most frequently cited basis for this regard was not rankings but the school’s role as a safety-net and uniquely valuable provider. At one institution the college sees roughly three-quarters of all Medicaid-enrolled children in the state; at another, leaders repeatedly stressed that theirs is the only dental college in the state, a distinction described as central to the university’s identity and public obligation. A university president captured the underlying logic in a single phrase, that oral health is “the gateway to all health,” while observing that the school’s compelling story is not yet being told as effectively as it could be. At the same time, the praise often carried qualifiers: one research executive noted candidly that the dental school is “not research intensive” and that leadership transitions had prevented it from reaching its full potential. A trustee also raised concern about the growing number of dental </w:t>
      </w:r>
      <w:r w:rsidRPr="00595A8F">
        <w:rPr>
          <w:rFonts w:ascii="Aptos" w:hAnsi="Aptos"/>
        </w:rPr>
        <w:lastRenderedPageBreak/>
        <w:t>schools opening nationally and the implications for sustaining educational quality and faculty calibration across the profession.</w:t>
      </w:r>
    </w:p>
    <w:p w14:paraId="1708C6DB" w14:textId="77777777" w:rsidR="00AB5274" w:rsidRPr="00595A8F" w:rsidRDefault="00000000">
      <w:pPr>
        <w:spacing w:after="160" w:line="276" w:lineRule="auto"/>
        <w:rPr>
          <w:rFonts w:ascii="Aptos" w:hAnsi="Aptos"/>
        </w:rPr>
      </w:pPr>
      <w:r w:rsidRPr="00595A8F">
        <w:rPr>
          <w:rFonts w:ascii="Aptos" w:hAnsi="Aptos"/>
          <w:b/>
          <w:bCs/>
        </w:rPr>
        <w:t xml:space="preserve">Research is the consensus growth frontier, amid a discouraging and increasingly uncertain federal climate. </w:t>
      </w:r>
      <w:r w:rsidRPr="00595A8F">
        <w:rPr>
          <w:rFonts w:ascii="Aptos" w:hAnsi="Aptos"/>
        </w:rPr>
        <w:t>Across research and academic-affairs leaders, one area for improvement surfaced repeatedly: research capacity. Leaders praised clinical and educational excellence while noting candidly that research output had room to grow, attributing the gap to resources, protected faculty time, the recruitment of scientists, and the loss of funded investigators after leadership transitions, rather than to any deficit of talent. The opportunity most often named was deeper participation in university-wide interdisciplinary structures. One research executive described a deliberate pivot away from costly “wet-lab” dependence toward computational and AI-enabled “dry-lab” research, anchored by a newly approved university-wide AI institute and the prospect of mining two decades of health-system electronic health records to study links between oral and systemic disease. At another institution, a research executive described the deliberate integration of AI across every discipline through an “AI plus X” framework, with a university-wide Data Science Institute engaging representatives from each school, and investments at the hundreds-of-millions scale, including a multi-institutional biosciences hub and a nine-university state AI consortium. At the same time, leaders were sober about funding: one described the current NIH environment as deeply discouraging, with his own grant roughly nine months from expiring; a provost stated bluntly that “our government is not a reliable partner” in the wake of reduced foreign-student enrollment and curtailed grant funding; and a vice provost at a separate institution cited research funding as a top concern and accreditation challenges linked to federal compliance as a source of institutional strain.</w:t>
      </w:r>
    </w:p>
    <w:p w14:paraId="46C183E5" w14:textId="77777777" w:rsidR="00AB5274" w:rsidRPr="00595A8F" w:rsidRDefault="00000000">
      <w:pPr>
        <w:spacing w:after="160" w:line="276" w:lineRule="auto"/>
        <w:rPr>
          <w:rFonts w:ascii="Aptos" w:hAnsi="Aptos"/>
        </w:rPr>
      </w:pPr>
      <w:r w:rsidRPr="00595A8F">
        <w:rPr>
          <w:rFonts w:ascii="Aptos" w:hAnsi="Aptos"/>
          <w:b/>
          <w:bCs/>
        </w:rPr>
        <w:t xml:space="preserve">Financial pressure is the dominant concern, and faculty recruitment is its sharpest edge. </w:t>
      </w:r>
      <w:r w:rsidRPr="00595A8F">
        <w:rPr>
          <w:rFonts w:ascii="Aptos" w:hAnsi="Aptos"/>
        </w:rPr>
        <w:t xml:space="preserve">Financial sustainability was the thread connecting nearly every interview. Provosts and research leaders emphasized uncertainty in federal research funding; a health-affairs leader described academic medicine’s razor-thin margins and a hospital costing millions per day to operate within a clinical enterprise that has tripled in scale over the past decade; trustees and society directors emphasized the cost of dental education, student debt, and chronically low Medicaid reimbursement, with one state ranked 48th or 49th nationally; a state dental society executive in another state reported educational costs of $400,000 to $500,000, with an oral surgery residency program closing due to unsustainable expense. A provost at a fifth institution cited reduced international-student enrollment as a direct driver of declining faculty salary, making the link between enrollment pressure and faculty economics explicit. One trustee further observed that a misalignment between the rising cost of dental education and earning potential in practice, compounded by new schools continuing to open, threatens the long-term equilibrium of the pipeline. The most concrete downstream effect named across institutions was faculty recruitment and retention. A president expressed open dissatisfaction with a persistent dental-faculty vacancy rate and pledged competitive compensation and alumni-assisted recruiting; a state society director reported that salaries are the </w:t>
      </w:r>
      <w:proofErr w:type="gramStart"/>
      <w:r w:rsidRPr="00595A8F">
        <w:rPr>
          <w:rFonts w:ascii="Aptos" w:hAnsi="Aptos"/>
        </w:rPr>
        <w:t>single issue</w:t>
      </w:r>
      <w:proofErr w:type="gramEnd"/>
      <w:r w:rsidRPr="00595A8F">
        <w:rPr>
          <w:rFonts w:ascii="Aptos" w:hAnsi="Aptos"/>
        </w:rPr>
        <w:t xml:space="preserve"> members raise most about the school; and a provost stood ready to build a faculty salary plan benchmarked against ADEA data. The salary-and-</w:t>
      </w:r>
      <w:r w:rsidRPr="00595A8F">
        <w:rPr>
          <w:rFonts w:ascii="Aptos" w:hAnsi="Aptos"/>
        </w:rPr>
        <w:lastRenderedPageBreak/>
        <w:t>staffing question is where abstract financial pressure becomes an immediate threat to educational quality.</w:t>
      </w:r>
    </w:p>
    <w:p w14:paraId="08EDB4D9" w14:textId="77777777" w:rsidR="00AB5274" w:rsidRPr="00595A8F" w:rsidRDefault="00000000">
      <w:pPr>
        <w:spacing w:after="160" w:line="276" w:lineRule="auto"/>
        <w:rPr>
          <w:rFonts w:ascii="Aptos" w:hAnsi="Aptos"/>
        </w:rPr>
      </w:pPr>
      <w:r w:rsidRPr="00595A8F">
        <w:rPr>
          <w:rFonts w:ascii="Aptos" w:hAnsi="Aptos"/>
          <w:b/>
          <w:bCs/>
        </w:rPr>
        <w:t xml:space="preserve">A communication gap can blunt institutional advocacy, but closing it yields measurable results. </w:t>
      </w:r>
      <w:r w:rsidRPr="00595A8F">
        <w:rPr>
          <w:rFonts w:ascii="Aptos" w:hAnsi="Aptos"/>
        </w:rPr>
        <w:t>A distinctive and actionable finding emerged where dental schools were interviewed alongside the leaders who fund and support them: central leaders were willing to help but had not received concrete requests. A provost stated plainly that she could not advocate for the college without knowing the specific problem, observing that the dental school tended to resolve issues internally before escalating them. A state society director similarly wished to be a “first call” but often learned of opportunities secondhand. A research executive at another institution illustrated a related perception gap: she had been deeply impressed by the dental clinic on first joining the university but observed that, years later, the school had not realized its potential and that research was not emphasized, suggesting that the absence of advocacy can allow external perceptions to calcify even among sympathetic leaders. Where the gap was closed, the results were tangible: a health-affairs leader described personally traveling to the state capital to advocate for enhanced Medicaid reimbursement rates for the dental school, securing millions of additional dollars in funding that the school had never received under its previous, siloed leadership structure. That example illustrates the difference between latent goodwill and activated advocacy, and underscores why proactive communication from the dental school is the indispensable catalyst.</w:t>
      </w:r>
    </w:p>
    <w:p w14:paraId="223F9557" w14:textId="77777777" w:rsidR="00AB5274" w:rsidRPr="00595A8F" w:rsidRDefault="00000000">
      <w:pPr>
        <w:spacing w:after="160" w:line="276" w:lineRule="auto"/>
        <w:rPr>
          <w:rFonts w:ascii="Aptos" w:hAnsi="Aptos"/>
        </w:rPr>
      </w:pPr>
      <w:r w:rsidRPr="00595A8F">
        <w:rPr>
          <w:rFonts w:ascii="Aptos" w:hAnsi="Aptos"/>
          <w:b/>
          <w:bCs/>
        </w:rPr>
        <w:t xml:space="preserve">Interprofessional integration is both a shared value and an active project. </w:t>
      </w:r>
      <w:r w:rsidRPr="00595A8F">
        <w:rPr>
          <w:rFonts w:ascii="Aptos" w:hAnsi="Aptos"/>
        </w:rPr>
        <w:t xml:space="preserve">Leaders consistently framed the future of health-sciences education around interprofessional education and integrated care, and many pointed to the same enabler: the migration of dental records into unified electronic health-record systems. One health-affairs leader cited the pandemic, when dentists, nurses, pharmacists, and physicians vaccinated </w:t>
      </w:r>
      <w:proofErr w:type="gramStart"/>
      <w:r w:rsidRPr="00595A8F">
        <w:rPr>
          <w:rFonts w:ascii="Aptos" w:hAnsi="Aptos"/>
        </w:rPr>
        <w:t>patients</w:t>
      </w:r>
      <w:proofErr w:type="gramEnd"/>
      <w:r w:rsidRPr="00595A8F">
        <w:rPr>
          <w:rFonts w:ascii="Aptos" w:hAnsi="Aptos"/>
        </w:rPr>
        <w:t xml:space="preserve"> side by side, as proof of concept, and described founding a dedicated interprofessional education center to institutionalize those gains. A research leader described shared health-system records as a transformative research asset, not merely a clinical one. At another institution, leaders pointed to a DMD/PhD dual degree developed in collaboration with the engineering school as evidence that dental education can reach beyond its traditional disciplinary boundaries. One trustee proposed an additional integration opportunity: routine blood screenings, such as A1C testing for diabetes, conducted during dental visits, which could generate revenue while providing meaningful value to patients and the broader medical system. Research leaders repeatedly described themselves as “connectors” and “super connectors” whose chief contribution is bringing people together across institutional silos. One research executive illustrated this at a scale unusual even among research universities, facilitating multi-hundred-million-dollar, multi-institution collaborations spanning universities, foundations, and government agencies.</w:t>
      </w:r>
    </w:p>
    <w:p w14:paraId="7C510065" w14:textId="77777777" w:rsidR="00AB5274" w:rsidRPr="00595A8F" w:rsidRDefault="00000000">
      <w:pPr>
        <w:spacing w:after="160" w:line="276" w:lineRule="auto"/>
        <w:rPr>
          <w:rFonts w:ascii="Aptos" w:hAnsi="Aptos"/>
        </w:rPr>
      </w:pPr>
      <w:r w:rsidRPr="00595A8F">
        <w:rPr>
          <w:rFonts w:ascii="Aptos" w:hAnsi="Aptos"/>
          <w:b/>
          <w:bCs/>
        </w:rPr>
        <w:t xml:space="preserve">Leaders find their meaning in enabling others. </w:t>
      </w:r>
      <w:r w:rsidRPr="00595A8F">
        <w:rPr>
          <w:rFonts w:ascii="Aptos" w:hAnsi="Aptos"/>
        </w:rPr>
        <w:t xml:space="preserve">Asked what gives them the most satisfaction, the large majority of administrators described a servant-leadership orientation: a provost spoke of setting aside personal ambition to help others reach their goals; a research executive described visiting labs unannounced simply to check in; a president described personally telling every graduate, by name, that he is proud of them; a chief financial officer described viewing her primary </w:t>
      </w:r>
      <w:r w:rsidRPr="00595A8F">
        <w:rPr>
          <w:rFonts w:ascii="Aptos" w:hAnsi="Aptos"/>
        </w:rPr>
        <w:lastRenderedPageBreak/>
        <w:t>role as supporting faculty in fulfilling the health-sciences mission, positioning administrators as service partners rather than gatekeepers. A provost at one institution listed “finishing my day earlier than twelve hours” alongside the more standard rewards of learning about faculty innovation, a candor that underscored how consuming these roles are. A provost and chancellor at another institution was a partial exception, locating his deepest satisfaction in continuing to see patients three days a week, a reminder that clinical identity remains central even at the highest administrative levels of academic health centers.</w:t>
      </w:r>
    </w:p>
    <w:p w14:paraId="4A892212" w14:textId="77777777" w:rsidR="00AB5274" w:rsidRPr="00595A8F" w:rsidRDefault="00000000">
      <w:pPr>
        <w:pStyle w:val="Heading2"/>
        <w:rPr>
          <w:rFonts w:ascii="Aptos" w:hAnsi="Aptos"/>
        </w:rPr>
      </w:pPr>
      <w:r w:rsidRPr="00595A8F">
        <w:rPr>
          <w:rFonts w:ascii="Aptos" w:hAnsi="Aptos"/>
        </w:rPr>
        <w:t>Similarities and Differences on Dental Education</w:t>
      </w:r>
    </w:p>
    <w:p w14:paraId="09ECDE4A" w14:textId="77777777" w:rsidR="00AB5274" w:rsidRPr="00595A8F" w:rsidRDefault="00000000">
      <w:pPr>
        <w:spacing w:after="160" w:line="276" w:lineRule="auto"/>
        <w:rPr>
          <w:rFonts w:ascii="Aptos" w:hAnsi="Aptos"/>
        </w:rPr>
      </w:pPr>
      <w:r w:rsidRPr="00595A8F">
        <w:rPr>
          <w:rFonts w:ascii="Aptos" w:hAnsi="Aptos"/>
        </w:rPr>
        <w:t>The interviews showed striking convergence on the value and mission of dental schools and on the financial threats they face, but meaningful divergence on questions internal to dental education and the profession.</w:t>
      </w:r>
    </w:p>
    <w:p w14:paraId="5F1876E0" w14:textId="77777777" w:rsidR="00AB5274" w:rsidRPr="00595A8F" w:rsidRDefault="00000000">
      <w:pPr>
        <w:spacing w:after="160" w:line="276" w:lineRule="auto"/>
        <w:rPr>
          <w:rFonts w:ascii="Aptos" w:hAnsi="Aptos"/>
        </w:rPr>
      </w:pPr>
      <w:r w:rsidRPr="00595A8F">
        <w:rPr>
          <w:rFonts w:ascii="Aptos" w:hAnsi="Aptos"/>
          <w:b/>
          <w:bCs/>
        </w:rPr>
        <w:t xml:space="preserve">Where they agreed. </w:t>
      </w:r>
      <w:r w:rsidRPr="00595A8F">
        <w:rPr>
          <w:rFonts w:ascii="Aptos" w:hAnsi="Aptos"/>
        </w:rPr>
        <w:t>All groups valued the dental school’s service mission and distinctiveness; all identified financial sustainability, and faculty recruitment in particular, as the central challenge; all endorsed interprofessional integration as the direction of travel; and both university and professional leaders regarded dental education as high-quality and appropriately demanding. Faculty dedication was singled out as the schools’ greatest asset, even by those most worried about whether competitive salaries can sustain it. The addition of a fifth institution reinforced rather than disrupted these patterns: the provost, vice provost, and research executive at that institution independently raised financial sustainability, research capacity, and the value of cross-disciplinary collaboration, the same core themes that emerged across all others.</w:t>
      </w:r>
    </w:p>
    <w:p w14:paraId="48955FD8" w14:textId="77777777" w:rsidR="00AB5274" w:rsidRPr="00595A8F" w:rsidRDefault="00000000">
      <w:pPr>
        <w:spacing w:after="160" w:line="276" w:lineRule="auto"/>
        <w:rPr>
          <w:rFonts w:ascii="Aptos" w:hAnsi="Aptos"/>
        </w:rPr>
      </w:pPr>
      <w:r w:rsidRPr="00595A8F">
        <w:rPr>
          <w:rFonts w:ascii="Aptos" w:hAnsi="Aptos"/>
          <w:b/>
          <w:bCs/>
        </w:rPr>
        <w:t xml:space="preserve">Where they differed. </w:t>
      </w:r>
      <w:r w:rsidRPr="00595A8F">
        <w:rPr>
          <w:rFonts w:ascii="Aptos" w:hAnsi="Aptos"/>
        </w:rPr>
        <w:t xml:space="preserve">The clearest fault line ran between university administrators and leaders of organized dentistry. Trustees and society directors framed the relevance of organized dentistry, the school–association relationship, and faculty modeling of professionalism as central, capturing it in the conviction that organized dentistry is what makes dentistry a profession rather than a trade, while university leaders rarely raised these themes. Within the profession, leaders diverged on curriculum reform: one trustee opposed compressing dental school to three years and dismissed the “hand-skills” debate as unsupported by evidence, while another emphasized clinical competency and the erosion of board examinations and questioned whether postgraduate training programs would need to expand to compensate. On access, strategies were state-specific, ranging from loan forgiveness, federally qualified health center placements, and community dental health coordinators to legislative initiatives creating alternative licensure pathways for foreign-trained dentists working in underserved areas, to the blunt argument that low reimbursement makes participation untenable and that charity is not a sustainable model. One trustee proposed a concrete but aspirational benchmark: that no person in the United States should miss work or school because of a toothache. Another identified a structural bottleneck: even where clinics are willing to treat Medicaid patients, a six-month wait to credential new providers undermines access from the supply side. On artificial intelligence, the research offices were at visibly different stages, from one institution running an “AI plus X” model across all disciplines with a dedicated Data Science Institute, to another that had recently approved a university-wide AI institute with computing infrastructure, a third coordinating AI activity through a formal inter-institutional </w:t>
      </w:r>
      <w:r w:rsidRPr="00595A8F">
        <w:rPr>
          <w:rFonts w:ascii="Aptos" w:hAnsi="Aptos"/>
        </w:rPr>
        <w:lastRenderedPageBreak/>
        <w:t>mechanism, a fourth cautious and provost-governed, and a fifth candidly describing itself as “behind.” Institutional trust and governance also surfaced as a differentiating factor: one provost described the restoration of trust as her foremost priority in the wake of a major institutional crisis, while others cited accreditation challenges and federal compliance pressures that have made the broader credibility of higher education a leadership concern. Several leaders voiced frustration that accreditation bodies reward survey metrics and administrative minutiae over innovation.</w:t>
      </w:r>
    </w:p>
    <w:p w14:paraId="258AAD99" w14:textId="77777777" w:rsidR="00AB5274" w:rsidRPr="00595A8F" w:rsidRDefault="00000000">
      <w:pPr>
        <w:spacing w:after="160" w:line="276" w:lineRule="auto"/>
        <w:rPr>
          <w:rFonts w:ascii="Aptos" w:hAnsi="Aptos"/>
        </w:rPr>
      </w:pPr>
      <w:r w:rsidRPr="00595A8F">
        <w:rPr>
          <w:rFonts w:ascii="Aptos" w:hAnsi="Aptos"/>
          <w:b/>
          <w:bCs/>
        </w:rPr>
        <w:t xml:space="preserve">An unexpected convergence: gender equity. </w:t>
      </w:r>
      <w:r w:rsidRPr="00595A8F">
        <w:rPr>
          <w:rFonts w:ascii="Aptos" w:hAnsi="Aptos"/>
        </w:rPr>
        <w:t xml:space="preserve">Unprompted, leaders at multiple institutions raised gender dynamics in the dental workforce and in leadership. A health-affairs leader offered pointed advice to women in dental leadership: take the opportunity when offered and do not wait to feel fully prepared, observing that men tend to accept leadership roles without checking every box while women hold back, ceding influence </w:t>
      </w:r>
      <w:proofErr w:type="gramStart"/>
      <w:r w:rsidRPr="00595A8F">
        <w:rPr>
          <w:rFonts w:ascii="Aptos" w:hAnsi="Aptos"/>
        </w:rPr>
        <w:t>to</w:t>
      </w:r>
      <w:proofErr w:type="gramEnd"/>
      <w:r w:rsidRPr="00595A8F">
        <w:rPr>
          <w:rFonts w:ascii="Aptos" w:hAnsi="Aptos"/>
        </w:rPr>
        <w:t xml:space="preserve"> less qualified individuals. A trustee identified a double standard in workforce commentary: when male dentists work three days a week, it is framed as success; when female dentists do so, it is cited as a contributor to the access-to-care crisis. That the observation arose independently from leaders in different roles and at different institutions suggests it reflects a systemic pattern rather than an isolated perspective, and it may warrant attention in future discussions of workforce planning and leadership development.</w:t>
      </w:r>
    </w:p>
    <w:p w14:paraId="54328F09" w14:textId="77777777" w:rsidR="00AB5274" w:rsidRPr="00595A8F" w:rsidRDefault="00000000">
      <w:pPr>
        <w:spacing w:after="160" w:line="276" w:lineRule="auto"/>
        <w:rPr>
          <w:rFonts w:ascii="Aptos" w:hAnsi="Aptos"/>
        </w:rPr>
      </w:pPr>
      <w:r w:rsidRPr="00595A8F">
        <w:rPr>
          <w:rFonts w:ascii="Aptos" w:hAnsi="Aptos"/>
        </w:rPr>
        <w:t>Finally, depth of perception tracked personal connection: leaders with historical, clinical, or family ties to the dental school offered the richest assessments, while one trustee openly acknowledged limited familiarity with the specific school. That variability itself is an analytical finding about the relationship between organized dentistry and the academic institutions it serves.</w:t>
      </w:r>
    </w:p>
    <w:p w14:paraId="32A63EE9" w14:textId="77777777" w:rsidR="00AB5274" w:rsidRPr="00595A8F" w:rsidRDefault="00000000">
      <w:pPr>
        <w:pStyle w:val="Heading2"/>
        <w:rPr>
          <w:rFonts w:ascii="Aptos" w:hAnsi="Aptos"/>
        </w:rPr>
      </w:pPr>
      <w:r w:rsidRPr="00595A8F">
        <w:rPr>
          <w:rFonts w:ascii="Aptos" w:hAnsi="Aptos"/>
        </w:rPr>
        <w:t>Trends Likely to Affect Dental Education</w:t>
      </w:r>
    </w:p>
    <w:p w14:paraId="2EC8470A" w14:textId="77777777" w:rsidR="00AB5274" w:rsidRPr="00595A8F" w:rsidRDefault="00000000">
      <w:pPr>
        <w:spacing w:after="160" w:line="276" w:lineRule="auto"/>
        <w:rPr>
          <w:rFonts w:ascii="Aptos" w:hAnsi="Aptos"/>
        </w:rPr>
      </w:pPr>
      <w:r w:rsidRPr="00595A8F">
        <w:rPr>
          <w:rFonts w:ascii="Aptos" w:hAnsi="Aptos"/>
          <w:b/>
          <w:bCs/>
        </w:rPr>
        <w:t xml:space="preserve">1. A structural financing squeeze on academic dentistry. </w:t>
      </w:r>
      <w:r w:rsidRPr="00595A8F">
        <w:rPr>
          <w:rFonts w:ascii="Aptos" w:hAnsi="Aptos"/>
        </w:rPr>
        <w:t>Declining state appropriations, uncertain federal research funding, chronically low Medicaid reimbursement, and rising tuition and debt are converging. At one institution, reduced international-student enrollment is now directly depressing faculty salary; at another, a state dental society reports educational costs approaching half a million dollars, with a training program closing due to unsustainable expense. The effects named by interviewees are concrete: difficulty recruiting and retaining faculty at uncompetitive salaries, persistent vacancy rates even in specialty areas, pressure on clinic finances and patient pools, a possible decline in applicant numbers and quality, and reduced interest in academic and research careers. One trustee described meeting a practitioner with a multi-million-dollar solo practice in a town of 2,000 who has been unable to retire for two years because no successor can be found, a vivid illustration of how financial and geographic pressures intersect at the community level. This is the trend most likely to shape the next decade of dental education.</w:t>
      </w:r>
    </w:p>
    <w:p w14:paraId="545A0EAB" w14:textId="77777777" w:rsidR="00AB5274" w:rsidRPr="00595A8F" w:rsidRDefault="00000000">
      <w:pPr>
        <w:spacing w:after="160" w:line="276" w:lineRule="auto"/>
        <w:rPr>
          <w:rFonts w:ascii="Aptos" w:hAnsi="Aptos"/>
        </w:rPr>
      </w:pPr>
      <w:r w:rsidRPr="00595A8F">
        <w:rPr>
          <w:rFonts w:ascii="Aptos" w:hAnsi="Aptos"/>
          <w:b/>
          <w:bCs/>
        </w:rPr>
        <w:t xml:space="preserve">2. The integration of oral health into unified health systems, data, and interprofessional care. </w:t>
      </w:r>
      <w:r w:rsidRPr="00595A8F">
        <w:rPr>
          <w:rFonts w:ascii="Aptos" w:hAnsi="Aptos"/>
        </w:rPr>
        <w:t xml:space="preserve">The migration to shared electronic health records, the growth of interprofessional education, and the reframing of oral health as inseparable from population health are moving dentistry from the periphery toward the center of integrated healthcare. The same health-system data that enables coordinated clinical care is emerging as a research asset, for example, linking periodontal disease to cardiovascular outcomes across population-scale datasets, creating opportunity and an </w:t>
      </w:r>
      <w:r w:rsidRPr="00595A8F">
        <w:rPr>
          <w:rFonts w:ascii="Aptos" w:hAnsi="Aptos"/>
        </w:rPr>
        <w:lastRenderedPageBreak/>
        <w:t>obligation for dental leaders to take part in healthcare leadership and policy, where the profession has historically been underrepresented. New models reinforce the trend: at one institution, a DMD/PhD dual degree developed jointly with the engineering school extends interprofessional education beyond traditional health-science boundaries, while at another, multi-sector research collaborations spanning universities, foundations, and government agencies demonstrate what scaled integration looks like in practice.</w:t>
      </w:r>
    </w:p>
    <w:p w14:paraId="1DF18D44" w14:textId="77777777" w:rsidR="00AB5274" w:rsidRPr="00595A8F" w:rsidRDefault="00000000">
      <w:pPr>
        <w:spacing w:after="160" w:line="276" w:lineRule="auto"/>
        <w:rPr>
          <w:rFonts w:ascii="Aptos" w:hAnsi="Aptos"/>
        </w:rPr>
      </w:pPr>
      <w:r w:rsidRPr="00595A8F">
        <w:rPr>
          <w:rFonts w:ascii="Aptos" w:hAnsi="Aptos"/>
          <w:b/>
          <w:bCs/>
        </w:rPr>
        <w:t xml:space="preserve">3. Generational change in the workforce and the rise of the DSO “long game.” </w:t>
      </w:r>
      <w:r w:rsidRPr="00595A8F">
        <w:rPr>
          <w:rFonts w:ascii="Aptos" w:hAnsi="Aptos"/>
        </w:rPr>
        <w:t>Early-career dentists carry heavy debt and increasingly begin in dental service organizations rather than private practice, with one of the highest DSO-growth states reporting that graduates now remain in that setting seven to eight years rather than three to four. Organized dentistry is responding by playing a longer game: maintaining the relationship through the DSO phase, reducing early-career dues, and engaging students and even hygiene programs earlier. Geographic maldistribution persists and is quantifiable: at one school roughly 40% of graduates leave the state within a few years, and the rest concentrate in the metro area, with analysts projecting a meaningful shortage within five to seven years. In another state, legislative strategies are being pursued to create alternative licensure pathways for foreign-trained dentists who work in underserved areas, reflecting a recognition that traditional pipeline models alone will not close the gap. Allied-field pipelines are also under strain: in at least one state, a nail technician license requires only 500 hours of training and can yield comparable hourly earnings to dental hygiene, an economic reality that depresses interest in the allied fields the profession depends on.</w:t>
      </w:r>
    </w:p>
    <w:p w14:paraId="56C526B2" w14:textId="77777777" w:rsidR="00AB5274" w:rsidRPr="00595A8F" w:rsidRDefault="00000000">
      <w:pPr>
        <w:spacing w:after="160" w:line="276" w:lineRule="auto"/>
        <w:rPr>
          <w:rFonts w:ascii="Aptos" w:hAnsi="Aptos"/>
        </w:rPr>
      </w:pPr>
      <w:r w:rsidRPr="00595A8F">
        <w:rPr>
          <w:rFonts w:ascii="Aptos" w:hAnsi="Aptos"/>
          <w:b/>
          <w:bCs/>
        </w:rPr>
        <w:t xml:space="preserve">4. Uneven, accelerating adoption of AI and digital technologies. </w:t>
      </w:r>
      <w:r w:rsidRPr="00595A8F">
        <w:rPr>
          <w:rFonts w:ascii="Aptos" w:hAnsi="Aptos"/>
        </w:rPr>
        <w:t>Institutions are integrating AI into research and education at very different speeds, with governance lagging practice. The range now spans five distinct institutional postures: one university runs an “AI plus X” model with a Data Science Institute engaging every school and multi-hundred-million-dollar external partnerships; a second has approved a university-wide AI institute with computing clusters and is pivoting its research portfolio toward AI-enabled work; a third coordinates AI activity through a formal inter-institutional mechanism; a fourth restricts AI use in grants, manuscripts, and human subjects through provost-level governance; and a fifth candidly places itself behind peer institutions. Concerns about integrity, data provenance, privacy, and explainability coexist with the recognition that students and faculty will use these tools regardless, making responsible-use education and deliberate infrastructure investment emerging priorities rather than optional ones.</w:t>
      </w:r>
    </w:p>
    <w:p w14:paraId="646A4EF5" w14:textId="77777777" w:rsidR="00AB5274" w:rsidRPr="00595A8F" w:rsidRDefault="00000000">
      <w:pPr>
        <w:pStyle w:val="Heading1"/>
        <w:rPr>
          <w:rFonts w:ascii="Aptos" w:hAnsi="Aptos"/>
        </w:rPr>
      </w:pPr>
      <w:r w:rsidRPr="00595A8F">
        <w:rPr>
          <w:rFonts w:ascii="Aptos" w:hAnsi="Aptos"/>
        </w:rPr>
        <w:t>Recommendations</w:t>
      </w:r>
    </w:p>
    <w:p w14:paraId="5D63F41B" w14:textId="77777777" w:rsidR="00AB5274" w:rsidRPr="00595A8F" w:rsidRDefault="00000000">
      <w:pPr>
        <w:spacing w:after="160" w:line="276" w:lineRule="auto"/>
        <w:rPr>
          <w:rFonts w:ascii="Aptos" w:hAnsi="Aptos"/>
        </w:rPr>
      </w:pPr>
      <w:r w:rsidRPr="00595A8F">
        <w:rPr>
          <w:rFonts w:ascii="Aptos" w:hAnsi="Aptos"/>
        </w:rPr>
        <w:t>The following recommendations flow from the trends above and are framed around a single goal: ensuring that academic dentistry demonstrates its value both to the higher-education enterprise that houses it and to the society it serves.</w:t>
      </w:r>
    </w:p>
    <w:p w14:paraId="5E988740" w14:textId="77777777" w:rsidR="00AB5274" w:rsidRPr="00595A8F" w:rsidRDefault="00000000">
      <w:pPr>
        <w:spacing w:after="140" w:line="276" w:lineRule="auto"/>
        <w:ind w:left="540" w:hanging="540"/>
        <w:rPr>
          <w:rFonts w:ascii="Aptos" w:hAnsi="Aptos"/>
        </w:rPr>
      </w:pPr>
      <w:r w:rsidRPr="00595A8F">
        <w:rPr>
          <w:rFonts w:ascii="Aptos" w:hAnsi="Aptos"/>
          <w:b/>
          <w:bCs/>
        </w:rPr>
        <w:t xml:space="preserve">1. Make the mission </w:t>
      </w:r>
      <w:proofErr w:type="gramStart"/>
      <w:r w:rsidRPr="00595A8F">
        <w:rPr>
          <w:rFonts w:ascii="Aptos" w:hAnsi="Aptos"/>
          <w:b/>
          <w:bCs/>
        </w:rPr>
        <w:t>legible, and</w:t>
      </w:r>
      <w:proofErr w:type="gramEnd"/>
      <w:r w:rsidRPr="00595A8F">
        <w:rPr>
          <w:rFonts w:ascii="Aptos" w:hAnsi="Aptos"/>
          <w:b/>
          <w:bCs/>
        </w:rPr>
        <w:t xml:space="preserve"> tell its story. </w:t>
      </w:r>
      <w:r w:rsidRPr="00595A8F">
        <w:rPr>
          <w:rFonts w:ascii="Aptos" w:hAnsi="Aptos"/>
        </w:rPr>
        <w:t xml:space="preserve">Dental schools should rigorously quantify their safety-net contribution and distinctiveness, then communicate that story relentlessly to legislators, university leadership, and the public. The most effective advocacy documented in </w:t>
      </w:r>
      <w:r w:rsidRPr="00595A8F">
        <w:rPr>
          <w:rFonts w:ascii="Aptos" w:hAnsi="Aptos"/>
        </w:rPr>
        <w:lastRenderedPageBreak/>
        <w:t>these interviews came from leaders who brought decision-makers into the clinics and made the data-backed case directly. At one institution, a health-affairs leader’s personal trip to the state capital to advocate for dental Medicaid reimbursement secured millions of dollars in new funding. Several other leaders observed that the school’s story is compelling but under told; one research executive’s observation that a dental clinic she once found impressive had not realized its potential years later underscores how quickly unrefreshed narratives lose their force. Closing that gap is among the lowest-cost, highest-return actions available.</w:t>
      </w:r>
    </w:p>
    <w:p w14:paraId="1C897B1E" w14:textId="77777777" w:rsidR="00AB5274" w:rsidRPr="00595A8F" w:rsidRDefault="00000000">
      <w:pPr>
        <w:spacing w:after="140" w:line="276" w:lineRule="auto"/>
        <w:ind w:left="540" w:hanging="540"/>
        <w:rPr>
          <w:rFonts w:ascii="Aptos" w:hAnsi="Aptos"/>
        </w:rPr>
      </w:pPr>
      <w:r w:rsidRPr="00595A8F">
        <w:rPr>
          <w:rFonts w:ascii="Aptos" w:hAnsi="Aptos"/>
          <w:b/>
          <w:bCs/>
        </w:rPr>
        <w:t xml:space="preserve">2. Close the communication gap with central leadership. </w:t>
      </w:r>
      <w:r w:rsidRPr="00595A8F">
        <w:rPr>
          <w:rFonts w:ascii="Aptos" w:hAnsi="Aptos"/>
        </w:rPr>
        <w:t>Provosts and presidents signaled clear willingness to help but cannot advocate in the dark. Dental schools should proactively and specifically articulate their needs, faculty lines, salary competitiveness, infrastructure, rather than resolving issues internally until they reach crisis. A standing communication cadence with the provost’s and president’s offices turns latent goodwill into concrete support.</w:t>
      </w:r>
    </w:p>
    <w:p w14:paraId="6144F1B5" w14:textId="77777777" w:rsidR="00AB5274" w:rsidRPr="00595A8F" w:rsidRDefault="00000000">
      <w:pPr>
        <w:spacing w:after="140" w:line="276" w:lineRule="auto"/>
        <w:ind w:left="540" w:hanging="540"/>
        <w:rPr>
          <w:rFonts w:ascii="Aptos" w:hAnsi="Aptos"/>
        </w:rPr>
      </w:pPr>
      <w:r w:rsidRPr="00595A8F">
        <w:rPr>
          <w:rFonts w:ascii="Aptos" w:hAnsi="Aptos"/>
          <w:b/>
          <w:bCs/>
        </w:rPr>
        <w:t xml:space="preserve">3. Treat faculty recruitment and retention as the priority investment. </w:t>
      </w:r>
      <w:r w:rsidRPr="00595A8F">
        <w:rPr>
          <w:rFonts w:ascii="Aptos" w:hAnsi="Aptos"/>
        </w:rPr>
        <w:t>Because faculty are repeatedly named as the schools’ greatest asset and salaries as the chief vulnerability, schools should build faculty salary plans benchmarked to ADEA data, enlist alumni in recruiting, explore international dental graduate pipelines for academically inclined faculty, and treat culture, respect, development, fair pay, as a retention tool. Specialty vacancies in particular warrant an urgent, not a routine, response. Leadership development should be intentional and inclusive, informed by the gender equity observations that surfaced across multiple interviews.</w:t>
      </w:r>
    </w:p>
    <w:p w14:paraId="2CF9955B" w14:textId="77777777" w:rsidR="00AB5274" w:rsidRPr="00595A8F" w:rsidRDefault="00000000">
      <w:pPr>
        <w:spacing w:after="140" w:line="276" w:lineRule="auto"/>
        <w:ind w:left="540" w:hanging="540"/>
        <w:rPr>
          <w:rFonts w:ascii="Aptos" w:hAnsi="Aptos"/>
        </w:rPr>
      </w:pPr>
      <w:r w:rsidRPr="00595A8F">
        <w:rPr>
          <w:rFonts w:ascii="Aptos" w:hAnsi="Aptos"/>
          <w:b/>
          <w:bCs/>
        </w:rPr>
        <w:t xml:space="preserve">4. Build research capacity through interdisciplinary and AI-enabled structures. </w:t>
      </w:r>
      <w:r w:rsidRPr="00595A8F">
        <w:rPr>
          <w:rFonts w:ascii="Aptos" w:hAnsi="Aptos"/>
        </w:rPr>
        <w:t>Rather than building research in isolation, schools should embed faculty in university-wide institutes, AI and data-science initiatives, and pilot-funding programs; pursue access to health-system EHR data for clinical and translational studies; protect faculty research time; and teach responsible AI use within the curriculum. The range of institutional models now available, from fully integrated AI-plus-X frameworks to newly approved institutes to coordinating committees, offers a menu of entry points regardless of where a school currently stands. This strengthens the school’s standing in the research university and diversifies revenue beyond clinical income.</w:t>
      </w:r>
    </w:p>
    <w:p w14:paraId="7DE38D69" w14:textId="77777777" w:rsidR="00AB5274" w:rsidRPr="00595A8F" w:rsidRDefault="00000000">
      <w:pPr>
        <w:spacing w:after="140" w:line="276" w:lineRule="auto"/>
        <w:ind w:left="540" w:hanging="540"/>
        <w:rPr>
          <w:rFonts w:ascii="Aptos" w:hAnsi="Aptos"/>
        </w:rPr>
      </w:pPr>
      <w:r w:rsidRPr="00595A8F">
        <w:rPr>
          <w:rFonts w:ascii="Aptos" w:hAnsi="Aptos"/>
          <w:b/>
          <w:bCs/>
        </w:rPr>
        <w:t xml:space="preserve">5. Pursue integration into unified health records and interprofessional care. </w:t>
      </w:r>
      <w:r w:rsidRPr="00595A8F">
        <w:rPr>
          <w:rFonts w:ascii="Aptos" w:hAnsi="Aptos"/>
        </w:rPr>
        <w:t>Schools should complete electronic-health-record integration, formalize interprofessional education, and position dental leaders for roles in healthcare governance and policy, including seats at the table with health-system executives, demonstrating dentistry’s value to the broader health system and opening new research and revenue pathways.</w:t>
      </w:r>
    </w:p>
    <w:p w14:paraId="1DB4EEAE" w14:textId="77777777" w:rsidR="00AB5274" w:rsidRPr="00595A8F" w:rsidRDefault="00000000">
      <w:pPr>
        <w:spacing w:after="140" w:line="276" w:lineRule="auto"/>
        <w:ind w:left="540" w:hanging="540"/>
        <w:rPr>
          <w:rFonts w:ascii="Aptos" w:hAnsi="Aptos"/>
        </w:rPr>
      </w:pPr>
      <w:r w:rsidRPr="00595A8F">
        <w:rPr>
          <w:rFonts w:ascii="Aptos" w:hAnsi="Aptos"/>
          <w:b/>
          <w:bCs/>
        </w:rPr>
        <w:t xml:space="preserve">6. Adapt to the early-career generation and the DSO long game. </w:t>
      </w:r>
      <w:r w:rsidRPr="00595A8F">
        <w:rPr>
          <w:rFonts w:ascii="Aptos" w:hAnsi="Aptos"/>
        </w:rPr>
        <w:t>Schools and associations should jointly lower the financial and cultural barriers facing early-career dentists, sustain engagement through the extended DSO phase, introduce students to advocacy and organized dentistry from matriculation rather than at graduation, and ensure faculty visibly model professional engagement, since students are influenced most by their faculty.</w:t>
      </w:r>
    </w:p>
    <w:p w14:paraId="41355484" w14:textId="77777777" w:rsidR="00AB5274" w:rsidRPr="00595A8F" w:rsidRDefault="00000000">
      <w:pPr>
        <w:spacing w:after="140" w:line="276" w:lineRule="auto"/>
        <w:ind w:left="540" w:hanging="540"/>
        <w:rPr>
          <w:rFonts w:ascii="Aptos" w:hAnsi="Aptos"/>
        </w:rPr>
      </w:pPr>
      <w:r w:rsidRPr="00595A8F">
        <w:rPr>
          <w:rFonts w:ascii="Aptos" w:hAnsi="Aptos"/>
          <w:b/>
          <w:bCs/>
        </w:rPr>
        <w:lastRenderedPageBreak/>
        <w:t xml:space="preserve">7. Address workforce distribution and allied-field pipelines candidly. </w:t>
      </w:r>
      <w:r w:rsidRPr="00595A8F">
        <w:rPr>
          <w:rFonts w:ascii="Aptos" w:hAnsi="Aptos"/>
        </w:rPr>
        <w:t>Expand loan-forgiveness-linked placements in underserved areas, satellite clinics, and community dental health coordinator models; use graduate-tracking data to target retention incentives toward dental deserts; pursue legislative strategies such as alternative licensure pathways for foreign-trained practitioners and reform of provider credentialing timelines that delay Medicaid participation; and confront honestly the economic realities depressing interest in dental hygiene and other allied fields the profession depends on.</w:t>
      </w:r>
    </w:p>
    <w:p w14:paraId="35F8147C" w14:textId="77777777" w:rsidR="00AB5274" w:rsidRPr="00595A8F" w:rsidRDefault="00000000">
      <w:pPr>
        <w:spacing w:after="140" w:line="276" w:lineRule="auto"/>
        <w:ind w:left="540" w:hanging="540"/>
        <w:rPr>
          <w:rFonts w:ascii="Aptos" w:hAnsi="Aptos"/>
        </w:rPr>
      </w:pPr>
      <w:r w:rsidRPr="00595A8F">
        <w:rPr>
          <w:rFonts w:ascii="Aptos" w:hAnsi="Aptos"/>
          <w:b/>
          <w:bCs/>
        </w:rPr>
        <w:t xml:space="preserve">8. Strengthen the school-profession partnership as a genuine, two-way relationship. </w:t>
      </w:r>
      <w:r w:rsidRPr="00595A8F">
        <w:rPr>
          <w:rFonts w:ascii="Aptos" w:hAnsi="Aptos"/>
        </w:rPr>
        <w:t>Treat state dental societies and the ADA as strategic partners for legislative advocacy, faculty licensing, student professional formation, and even board-level representation, and reciprocate by serving as the profession’s go-to educational and policy resource. The strongest relationships described in these interviews were explicitly bidirectional, with society directors positioning themselves as bridges between organized dentistry, practicing clinicians, and academic institutions.</w:t>
      </w:r>
    </w:p>
    <w:p w14:paraId="0936AC4C" w14:textId="77777777" w:rsidR="00AB5274" w:rsidRPr="00595A8F" w:rsidRDefault="00000000">
      <w:pPr>
        <w:spacing w:after="160" w:line="276" w:lineRule="auto"/>
        <w:rPr>
          <w:rFonts w:ascii="Aptos" w:hAnsi="Aptos"/>
        </w:rPr>
      </w:pPr>
      <w:r w:rsidRPr="00595A8F">
        <w:rPr>
          <w:rFonts w:ascii="Aptos" w:hAnsi="Aptos"/>
        </w:rPr>
        <w:t>Taken together, these recommendations point to a single conclusion. Academic dentistry secures its place in higher education and society not by competing for prestige on terms set elsewhere, but by leaning into what these stakeholders already recognize as its distinctive value: an unmatched service mission, a growing role in integrated and data-driven health, and the capacity to form professionals who lead. Made visible, well-staffed, well-connected, and clearly communicated, that value is the surest argument for academic dentistry’s future.</w:t>
      </w:r>
    </w:p>
    <w:sectPr w:rsidR="00AB5274" w:rsidRPr="00595A8F">
      <w:headerReference w:type="even" r:id="rId7"/>
      <w:headerReference w:type="default" r:id="rId8"/>
      <w:footerReference w:type="even" r:id="rId9"/>
      <w:footerReference w:type="default" r:id="rId10"/>
      <w:headerReference w:type="first" r:id="rId11"/>
      <w:footerReference w:type="first" r:id="rId12"/>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965183" w14:textId="77777777" w:rsidR="00BA725D" w:rsidRDefault="00BA725D">
      <w:r>
        <w:separator/>
      </w:r>
    </w:p>
  </w:endnote>
  <w:endnote w:type="continuationSeparator" w:id="0">
    <w:p w14:paraId="2A8278BE" w14:textId="77777777" w:rsidR="00BA725D" w:rsidRDefault="00BA725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43C7B7" w14:textId="77777777" w:rsidR="00CC7ECD" w:rsidRDefault="00CC7EC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6352B0" w14:textId="328D5147" w:rsidR="00AB5274" w:rsidRPr="00595A8F" w:rsidRDefault="00000000">
    <w:pPr>
      <w:jc w:val="center"/>
      <w:rPr>
        <w:rFonts w:ascii="Aptos" w:hAnsi="Aptos"/>
      </w:rPr>
    </w:pPr>
    <w:r w:rsidRPr="00595A8F">
      <w:rPr>
        <w:rFonts w:ascii="Aptos" w:hAnsi="Aptos"/>
        <w:color w:val="7F8C99"/>
        <w:sz w:val="16"/>
        <w:szCs w:val="16"/>
      </w:rPr>
      <w:t xml:space="preserve">Confidential — comments reported in aggregate only        Page </w:t>
    </w:r>
    <w:r w:rsidRPr="00595A8F">
      <w:rPr>
        <w:rFonts w:ascii="Aptos" w:hAnsi="Aptos"/>
        <w:color w:val="7F8C99"/>
        <w:sz w:val="16"/>
        <w:szCs w:val="16"/>
      </w:rPr>
      <w:fldChar w:fldCharType="begin"/>
    </w:r>
    <w:r w:rsidRPr="00595A8F">
      <w:rPr>
        <w:rFonts w:ascii="Aptos" w:hAnsi="Aptos"/>
        <w:color w:val="7F8C99"/>
        <w:sz w:val="16"/>
        <w:szCs w:val="16"/>
      </w:rPr>
      <w:instrText>PAGE</w:instrText>
    </w:r>
    <w:r w:rsidRPr="00595A8F">
      <w:rPr>
        <w:rFonts w:ascii="Aptos" w:hAnsi="Aptos"/>
        <w:color w:val="7F8C99"/>
        <w:sz w:val="16"/>
        <w:szCs w:val="16"/>
      </w:rPr>
      <w:fldChar w:fldCharType="separate"/>
    </w:r>
    <w:r w:rsidR="00595A8F" w:rsidRPr="00595A8F">
      <w:rPr>
        <w:rFonts w:ascii="Aptos" w:hAnsi="Aptos"/>
        <w:noProof/>
        <w:color w:val="7F8C99"/>
        <w:sz w:val="16"/>
        <w:szCs w:val="16"/>
      </w:rPr>
      <w:t>1</w:t>
    </w:r>
    <w:r w:rsidRPr="00595A8F">
      <w:rPr>
        <w:rFonts w:ascii="Aptos" w:hAnsi="Aptos"/>
        <w:color w:val="7F8C99"/>
        <w:sz w:val="16"/>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931E33" w14:textId="77777777" w:rsidR="00CC7ECD" w:rsidRDefault="00CC7EC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45802C" w14:textId="77777777" w:rsidR="00BA725D" w:rsidRDefault="00BA725D">
      <w:r>
        <w:separator/>
      </w:r>
    </w:p>
  </w:footnote>
  <w:footnote w:type="continuationSeparator" w:id="0">
    <w:p w14:paraId="50CCA316" w14:textId="77777777" w:rsidR="00BA725D" w:rsidRDefault="00BA725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509370" w14:textId="77777777" w:rsidR="00CC7ECD" w:rsidRDefault="00CC7EC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046A46" w14:textId="77777777" w:rsidR="00AB5274" w:rsidRPr="00CC7ECD" w:rsidRDefault="00000000">
    <w:pPr>
      <w:jc w:val="right"/>
      <w:rPr>
        <w:rFonts w:ascii="Aptos" w:hAnsi="Aptos"/>
      </w:rPr>
    </w:pPr>
    <w:r w:rsidRPr="00CC7ECD">
      <w:rPr>
        <w:rFonts w:ascii="Aptos" w:hAnsi="Aptos"/>
        <w:color w:val="7F8C99"/>
        <w:sz w:val="16"/>
        <w:szCs w:val="16"/>
      </w:rPr>
      <w:t xml:space="preserve">ADEA Leadership </w:t>
    </w:r>
    <w:proofErr w:type="gramStart"/>
    <w:r w:rsidRPr="00CC7ECD">
      <w:rPr>
        <w:rFonts w:ascii="Aptos" w:hAnsi="Aptos"/>
        <w:color w:val="7F8C99"/>
        <w:sz w:val="16"/>
        <w:szCs w:val="16"/>
      </w:rPr>
      <w:t>Institute  •</w:t>
    </w:r>
    <w:proofErr w:type="gramEnd"/>
    <w:r w:rsidRPr="00CC7ECD">
      <w:rPr>
        <w:rFonts w:ascii="Aptos" w:hAnsi="Aptos"/>
        <w:color w:val="7F8C99"/>
        <w:sz w:val="16"/>
        <w:szCs w:val="16"/>
      </w:rPr>
      <w:t xml:space="preserve">  Class of 2026–</w:t>
    </w:r>
    <w:proofErr w:type="gramStart"/>
    <w:r w:rsidRPr="00CC7ECD">
      <w:rPr>
        <w:rFonts w:ascii="Aptos" w:hAnsi="Aptos"/>
        <w:color w:val="7F8C99"/>
        <w:sz w:val="16"/>
        <w:szCs w:val="16"/>
      </w:rPr>
      <w:t>27  •</w:t>
    </w:r>
    <w:proofErr w:type="gramEnd"/>
    <w:r w:rsidRPr="00CC7ECD">
      <w:rPr>
        <w:rFonts w:ascii="Aptos" w:hAnsi="Aptos"/>
        <w:color w:val="7F8C99"/>
        <w:sz w:val="16"/>
        <w:szCs w:val="16"/>
      </w:rPr>
      <w:t xml:space="preserve">  Full Voltage</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B08C66" w14:textId="77777777" w:rsidR="00CC7ECD" w:rsidRDefault="00CC7EC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04A2198"/>
    <w:multiLevelType w:val="hybridMultilevel"/>
    <w:tmpl w:val="ED76552A"/>
    <w:lvl w:ilvl="0" w:tplc="8E5A7BC4">
      <w:start w:val="1"/>
      <w:numFmt w:val="bullet"/>
      <w:lvlText w:val="●"/>
      <w:lvlJc w:val="left"/>
      <w:pPr>
        <w:ind w:left="720" w:hanging="360"/>
      </w:pPr>
    </w:lvl>
    <w:lvl w:ilvl="1" w:tplc="AEACA1F0">
      <w:start w:val="1"/>
      <w:numFmt w:val="bullet"/>
      <w:lvlText w:val="○"/>
      <w:lvlJc w:val="left"/>
      <w:pPr>
        <w:ind w:left="1440" w:hanging="360"/>
      </w:pPr>
    </w:lvl>
    <w:lvl w:ilvl="2" w:tplc="181EB27E">
      <w:start w:val="1"/>
      <w:numFmt w:val="bullet"/>
      <w:lvlText w:val="■"/>
      <w:lvlJc w:val="left"/>
      <w:pPr>
        <w:ind w:left="2160" w:hanging="360"/>
      </w:pPr>
    </w:lvl>
    <w:lvl w:ilvl="3" w:tplc="35845E5C">
      <w:start w:val="1"/>
      <w:numFmt w:val="bullet"/>
      <w:lvlText w:val="●"/>
      <w:lvlJc w:val="left"/>
      <w:pPr>
        <w:ind w:left="2880" w:hanging="360"/>
      </w:pPr>
    </w:lvl>
    <w:lvl w:ilvl="4" w:tplc="70641B3C">
      <w:start w:val="1"/>
      <w:numFmt w:val="bullet"/>
      <w:lvlText w:val="○"/>
      <w:lvlJc w:val="left"/>
      <w:pPr>
        <w:ind w:left="3600" w:hanging="360"/>
      </w:pPr>
    </w:lvl>
    <w:lvl w:ilvl="5" w:tplc="0C40418E">
      <w:start w:val="1"/>
      <w:numFmt w:val="bullet"/>
      <w:lvlText w:val="■"/>
      <w:lvlJc w:val="left"/>
      <w:pPr>
        <w:ind w:left="4320" w:hanging="360"/>
      </w:pPr>
    </w:lvl>
    <w:lvl w:ilvl="6" w:tplc="583669CC">
      <w:start w:val="1"/>
      <w:numFmt w:val="bullet"/>
      <w:lvlText w:val="●"/>
      <w:lvlJc w:val="left"/>
      <w:pPr>
        <w:ind w:left="5040" w:hanging="360"/>
      </w:pPr>
    </w:lvl>
    <w:lvl w:ilvl="7" w:tplc="40AEE66C">
      <w:start w:val="1"/>
      <w:numFmt w:val="bullet"/>
      <w:lvlText w:val="●"/>
      <w:lvlJc w:val="left"/>
      <w:pPr>
        <w:ind w:left="5760" w:hanging="360"/>
      </w:pPr>
    </w:lvl>
    <w:lvl w:ilvl="8" w:tplc="52062ED2">
      <w:start w:val="1"/>
      <w:numFmt w:val="bullet"/>
      <w:lvlText w:val="●"/>
      <w:lvlJc w:val="left"/>
      <w:pPr>
        <w:ind w:left="6480" w:hanging="360"/>
      </w:pPr>
    </w:lvl>
  </w:abstractNum>
  <w:num w:numId="1" w16cid:durableId="52386198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8"/>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B5274"/>
    <w:rsid w:val="00595A8F"/>
    <w:rsid w:val="00AB5274"/>
    <w:rsid w:val="00BA725D"/>
    <w:rsid w:val="00C36ADF"/>
    <w:rsid w:val="00CC7EC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5CC6F0B"/>
  <w15:docId w15:val="{551BFF99-E852-1A47-B604-09354BFF6C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6" w:space="4" w:color="1F3864"/>
      </w:pBdr>
      <w:spacing w:before="280" w:after="140"/>
      <w:outlineLvl w:val="0"/>
    </w:pPr>
    <w:rPr>
      <w:b/>
      <w:bCs/>
      <w:color w:val="1F3864"/>
      <w:sz w:val="28"/>
      <w:szCs w:val="28"/>
    </w:rPr>
  </w:style>
  <w:style w:type="paragraph" w:styleId="Heading2">
    <w:name w:val="heading 2"/>
    <w:uiPriority w:val="9"/>
    <w:unhideWhenUsed/>
    <w:qFormat/>
    <w:pPr>
      <w:spacing w:before="200" w:after="100"/>
      <w:outlineLvl w:val="1"/>
    </w:pPr>
    <w:rPr>
      <w:b/>
      <w:bCs/>
      <w:color w:val="2E5496"/>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pPr>
      <w:spacing w:after="80"/>
      <w:jc w:val="center"/>
    </w:pPr>
    <w:rPr>
      <w:b/>
      <w:bCs/>
      <w:color w:val="1F3864"/>
      <w:sz w:val="40"/>
      <w:szCs w:val="40"/>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595A8F"/>
    <w:pPr>
      <w:tabs>
        <w:tab w:val="center" w:pos="4680"/>
        <w:tab w:val="right" w:pos="9360"/>
      </w:tabs>
    </w:pPr>
  </w:style>
  <w:style w:type="character" w:customStyle="1" w:styleId="HeaderChar">
    <w:name w:val="Header Char"/>
    <w:basedOn w:val="DefaultParagraphFont"/>
    <w:link w:val="Header"/>
    <w:uiPriority w:val="99"/>
    <w:rsid w:val="00595A8F"/>
  </w:style>
  <w:style w:type="paragraph" w:styleId="Footer">
    <w:name w:val="footer"/>
    <w:basedOn w:val="Normal"/>
    <w:link w:val="FooterChar"/>
    <w:uiPriority w:val="99"/>
    <w:unhideWhenUsed/>
    <w:rsid w:val="00595A8F"/>
    <w:pPr>
      <w:tabs>
        <w:tab w:val="center" w:pos="4680"/>
        <w:tab w:val="right" w:pos="9360"/>
      </w:tabs>
    </w:pPr>
  </w:style>
  <w:style w:type="character" w:customStyle="1" w:styleId="FooterChar">
    <w:name w:val="Footer Char"/>
    <w:basedOn w:val="DefaultParagraphFont"/>
    <w:link w:val="Footer"/>
    <w:uiPriority w:val="99"/>
    <w:rsid w:val="00595A8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9</Pages>
  <Words>4213</Words>
  <Characters>24016</Characters>
  <Application>Microsoft Office Word</Application>
  <DocSecurity>0</DocSecurity>
  <Lines>200</Lines>
  <Paragraphs>56</Paragraphs>
  <ScaleCrop>false</ScaleCrop>
  <Company/>
  <LinksUpToDate>false</LinksUpToDate>
  <CharactersWithSpaces>28173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Pacheco, Rafael</cp:lastModifiedBy>
  <cp:revision>5</cp:revision>
  <dcterms:created xsi:type="dcterms:W3CDTF">2026-06-08T15:18:00Z</dcterms:created>
  <dcterms:modified xsi:type="dcterms:W3CDTF">2026-06-08T15:21:00Z</dcterms:modified>
</cp:coreProperties>
</file>