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7472" w14:textId="6434F0B6" w:rsidR="00357400" w:rsidRPr="006353A9" w:rsidRDefault="00357400">
      <w:pPr>
        <w:rPr>
          <w:rFonts w:ascii="Verdana" w:hAnsi="Verdana"/>
          <w:sz w:val="20"/>
        </w:rPr>
      </w:pPr>
    </w:p>
    <w:p w14:paraId="5E0351E7" w14:textId="110AE4E8" w:rsidR="00357400" w:rsidRDefault="006353A9">
      <w:pPr>
        <w:rPr>
          <w:rFonts w:ascii="Verdana" w:hAnsi="Verdana"/>
          <w:sz w:val="20"/>
        </w:rPr>
      </w:pPr>
      <w:r w:rsidRPr="006353A9">
        <w:rPr>
          <w:rFonts w:ascii="Verdana" w:hAnsi="Verdana"/>
          <w:sz w:val="20"/>
        </w:rPr>
        <w:t xml:space="preserve">Vamos a </w:t>
      </w:r>
      <w:r>
        <w:rPr>
          <w:rFonts w:ascii="Verdana" w:hAnsi="Verdana"/>
          <w:sz w:val="20"/>
        </w:rPr>
        <w:t>analizar los niveles de ansiedad, depresión, autoexigencia, autovaloración y presión externa según el curso académico de los individuos.</w:t>
      </w:r>
    </w:p>
    <w:p w14:paraId="69FC49A8" w14:textId="1E5F4369" w:rsidR="006353A9" w:rsidRDefault="006353A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 primer vistazo de los individuos que pertenecen a los distintos centros escolares: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1061"/>
        <w:gridCol w:w="1062"/>
        <w:gridCol w:w="1062"/>
        <w:gridCol w:w="1062"/>
        <w:gridCol w:w="1062"/>
        <w:gridCol w:w="1062"/>
        <w:gridCol w:w="1062"/>
      </w:tblGrid>
      <w:tr w:rsidR="006353A9" w14:paraId="4A9C5805" w14:textId="77777777" w:rsidTr="006353A9">
        <w:tc>
          <w:tcPr>
            <w:tcW w:w="1061" w:type="dxa"/>
          </w:tcPr>
          <w:p w14:paraId="49C7567E" w14:textId="77777777" w:rsidR="006353A9" w:rsidRDefault="006353A9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61" w:type="dxa"/>
          </w:tcPr>
          <w:p w14:paraId="7F4E00CD" w14:textId="7A5EAF6F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Avilés1</w:t>
            </w:r>
          </w:p>
        </w:tc>
        <w:tc>
          <w:tcPr>
            <w:tcW w:w="1062" w:type="dxa"/>
          </w:tcPr>
          <w:p w14:paraId="6E81C14A" w14:textId="73186190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Avilés2</w:t>
            </w:r>
          </w:p>
        </w:tc>
        <w:tc>
          <w:tcPr>
            <w:tcW w:w="1062" w:type="dxa"/>
          </w:tcPr>
          <w:p w14:paraId="02E127CD" w14:textId="3DCEFF44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Laviana</w:t>
            </w:r>
          </w:p>
        </w:tc>
        <w:tc>
          <w:tcPr>
            <w:tcW w:w="1062" w:type="dxa"/>
          </w:tcPr>
          <w:p w14:paraId="12C096F4" w14:textId="4CAA25C6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Luanco</w:t>
            </w:r>
          </w:p>
        </w:tc>
        <w:tc>
          <w:tcPr>
            <w:tcW w:w="1062" w:type="dxa"/>
          </w:tcPr>
          <w:p w14:paraId="016BB9F5" w14:textId="473F095E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Mieres</w:t>
            </w:r>
          </w:p>
        </w:tc>
        <w:tc>
          <w:tcPr>
            <w:tcW w:w="1062" w:type="dxa"/>
          </w:tcPr>
          <w:p w14:paraId="1CC98FAC" w14:textId="1D8AD44E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Oviedo </w:t>
            </w:r>
          </w:p>
        </w:tc>
        <w:tc>
          <w:tcPr>
            <w:tcW w:w="1062" w:type="dxa"/>
          </w:tcPr>
          <w:p w14:paraId="7B997EA4" w14:textId="0F7C8D0C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Pravia</w:t>
            </w:r>
          </w:p>
        </w:tc>
      </w:tr>
      <w:tr w:rsidR="006353A9" w14:paraId="2BB281E4" w14:textId="77777777" w:rsidTr="006353A9">
        <w:tc>
          <w:tcPr>
            <w:tcW w:w="1061" w:type="dxa"/>
          </w:tcPr>
          <w:p w14:paraId="6AE99267" w14:textId="56C2DD5B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Individuos</w:t>
            </w:r>
          </w:p>
        </w:tc>
        <w:tc>
          <w:tcPr>
            <w:tcW w:w="1061" w:type="dxa"/>
          </w:tcPr>
          <w:p w14:paraId="1DA26A6A" w14:textId="088A9CF6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108</w:t>
            </w:r>
          </w:p>
        </w:tc>
        <w:tc>
          <w:tcPr>
            <w:tcW w:w="1062" w:type="dxa"/>
          </w:tcPr>
          <w:p w14:paraId="7AD914AF" w14:textId="3B172FBB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114</w:t>
            </w:r>
          </w:p>
        </w:tc>
        <w:tc>
          <w:tcPr>
            <w:tcW w:w="1062" w:type="dxa"/>
          </w:tcPr>
          <w:p w14:paraId="74FB75E8" w14:textId="1C3E3C0A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1062" w:type="dxa"/>
          </w:tcPr>
          <w:p w14:paraId="6DE73AB1" w14:textId="4031400C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187</w:t>
            </w:r>
          </w:p>
        </w:tc>
        <w:tc>
          <w:tcPr>
            <w:tcW w:w="1062" w:type="dxa"/>
          </w:tcPr>
          <w:p w14:paraId="5AC38A6A" w14:textId="752EE1AF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108</w:t>
            </w:r>
          </w:p>
        </w:tc>
        <w:tc>
          <w:tcPr>
            <w:tcW w:w="1062" w:type="dxa"/>
          </w:tcPr>
          <w:p w14:paraId="1AA1F6ED" w14:textId="4901E3BA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115</w:t>
            </w:r>
          </w:p>
        </w:tc>
        <w:tc>
          <w:tcPr>
            <w:tcW w:w="1062" w:type="dxa"/>
          </w:tcPr>
          <w:p w14:paraId="528AA396" w14:textId="15F1DA88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78</w:t>
            </w:r>
          </w:p>
        </w:tc>
      </w:tr>
      <w:tr w:rsidR="006353A9" w14:paraId="48A041A3" w14:textId="77777777" w:rsidTr="006353A9">
        <w:tc>
          <w:tcPr>
            <w:tcW w:w="1061" w:type="dxa"/>
          </w:tcPr>
          <w:p w14:paraId="7A2DDDD8" w14:textId="6200C69D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Porcenaje</w:t>
            </w:r>
          </w:p>
        </w:tc>
        <w:tc>
          <w:tcPr>
            <w:tcW w:w="1061" w:type="dxa"/>
          </w:tcPr>
          <w:p w14:paraId="4CA49563" w14:textId="3B80D096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14.77</w:t>
            </w:r>
          </w:p>
        </w:tc>
        <w:tc>
          <w:tcPr>
            <w:tcW w:w="1062" w:type="dxa"/>
          </w:tcPr>
          <w:p w14:paraId="6103E2C9" w14:textId="424C8DF0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15.60</w:t>
            </w:r>
          </w:p>
        </w:tc>
        <w:tc>
          <w:tcPr>
            <w:tcW w:w="1062" w:type="dxa"/>
          </w:tcPr>
          <w:p w14:paraId="6D202178" w14:textId="0866E354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2.87</w:t>
            </w:r>
          </w:p>
        </w:tc>
        <w:tc>
          <w:tcPr>
            <w:tcW w:w="1062" w:type="dxa"/>
          </w:tcPr>
          <w:p w14:paraId="04B0DA61" w14:textId="4256857A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25.58</w:t>
            </w:r>
          </w:p>
        </w:tc>
        <w:tc>
          <w:tcPr>
            <w:tcW w:w="1062" w:type="dxa"/>
          </w:tcPr>
          <w:p w14:paraId="0FB6705E" w14:textId="230A8468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14.77</w:t>
            </w:r>
          </w:p>
        </w:tc>
        <w:tc>
          <w:tcPr>
            <w:tcW w:w="1062" w:type="dxa"/>
          </w:tcPr>
          <w:p w14:paraId="6501714E" w14:textId="66148F95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15.73</w:t>
            </w:r>
          </w:p>
        </w:tc>
        <w:tc>
          <w:tcPr>
            <w:tcW w:w="1062" w:type="dxa"/>
          </w:tcPr>
          <w:p w14:paraId="0364AF28" w14:textId="25364A74" w:rsidR="006353A9" w:rsidRDefault="006353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10.67</w:t>
            </w:r>
          </w:p>
        </w:tc>
      </w:tr>
    </w:tbl>
    <w:p w14:paraId="4B195F30" w14:textId="5FE47152" w:rsidR="006353A9" w:rsidRDefault="006353A9">
      <w:pPr>
        <w:rPr>
          <w:rFonts w:ascii="Verdana" w:hAnsi="Verdana"/>
          <w:sz w:val="20"/>
        </w:rPr>
      </w:pPr>
    </w:p>
    <w:p w14:paraId="59DC4D2D" w14:textId="40382642" w:rsidR="006353A9" w:rsidRDefault="006353A9">
      <w:pPr>
        <w:rPr>
          <w:rFonts w:ascii="Verdana" w:hAnsi="Verdana"/>
          <w:b/>
          <w:sz w:val="20"/>
        </w:rPr>
      </w:pPr>
      <w:r w:rsidRPr="006353A9">
        <w:rPr>
          <w:rFonts w:ascii="Verdana" w:hAnsi="Verdana"/>
          <w:b/>
          <w:sz w:val="20"/>
        </w:rPr>
        <w:t>ANSIEDAD según centro</w:t>
      </w:r>
    </w:p>
    <w:p w14:paraId="45209542" w14:textId="1F8FB8F3" w:rsidR="00C9221F" w:rsidRDefault="00C9221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Realizamos un resumen numérico de la ansiedad según el centro para tener una primera idea de los datos que vamos a analizar:</w:t>
      </w:r>
    </w:p>
    <w:p w14:paraId="36C8A174" w14:textId="33CC1522" w:rsidR="00C9221F" w:rsidRDefault="00D15E5E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2699EDE" wp14:editId="5FA94C7C">
            <wp:simplePos x="0" y="0"/>
            <wp:positionH relativeFrom="column">
              <wp:posOffset>3248025</wp:posOffset>
            </wp:positionH>
            <wp:positionV relativeFrom="page">
              <wp:posOffset>2895600</wp:posOffset>
            </wp:positionV>
            <wp:extent cx="3219450" cy="28752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xcent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</w:tblGrid>
      <w:tr w:rsidR="00C9221F" w14:paraId="0795234E" w14:textId="77777777" w:rsidTr="00D15E5E">
        <w:tc>
          <w:tcPr>
            <w:tcW w:w="1129" w:type="dxa"/>
          </w:tcPr>
          <w:p w14:paraId="46CE50C8" w14:textId="77777777" w:rsidR="00C9221F" w:rsidRDefault="00C9221F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418" w:type="dxa"/>
          </w:tcPr>
          <w:p w14:paraId="73FDD65B" w14:textId="3359D348" w:rsidR="00C9221F" w:rsidRDefault="00C9221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Mean</w:t>
            </w:r>
          </w:p>
        </w:tc>
        <w:tc>
          <w:tcPr>
            <w:tcW w:w="1417" w:type="dxa"/>
          </w:tcPr>
          <w:p w14:paraId="6C1548C2" w14:textId="050C6185" w:rsidR="00C9221F" w:rsidRDefault="00C9221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sd</w:t>
            </w:r>
          </w:p>
        </w:tc>
      </w:tr>
      <w:tr w:rsidR="00D15E5E" w14:paraId="47D0CD92" w14:textId="77777777" w:rsidTr="00D15E5E">
        <w:tc>
          <w:tcPr>
            <w:tcW w:w="1129" w:type="dxa"/>
          </w:tcPr>
          <w:p w14:paraId="7F781F4E" w14:textId="43F5BB91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Avilés1</w:t>
            </w:r>
          </w:p>
        </w:tc>
        <w:tc>
          <w:tcPr>
            <w:tcW w:w="1418" w:type="dxa"/>
          </w:tcPr>
          <w:p w14:paraId="3E55E77A" w14:textId="0BE47E97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 xml:space="preserve">32.75926  </w:t>
            </w:r>
          </w:p>
        </w:tc>
        <w:tc>
          <w:tcPr>
            <w:tcW w:w="1417" w:type="dxa"/>
          </w:tcPr>
          <w:p w14:paraId="009DFBC8" w14:textId="3DF6B0D2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9.394640</w:t>
            </w:r>
          </w:p>
        </w:tc>
      </w:tr>
      <w:tr w:rsidR="00D15E5E" w14:paraId="279EE6F1" w14:textId="77777777" w:rsidTr="00D15E5E">
        <w:tc>
          <w:tcPr>
            <w:tcW w:w="1129" w:type="dxa"/>
          </w:tcPr>
          <w:p w14:paraId="306B306F" w14:textId="6D5B048E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Avilés</w:t>
            </w: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418" w:type="dxa"/>
          </w:tcPr>
          <w:p w14:paraId="1B2DE1D3" w14:textId="417F6963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36.80702</w:t>
            </w:r>
          </w:p>
        </w:tc>
        <w:tc>
          <w:tcPr>
            <w:tcW w:w="1417" w:type="dxa"/>
          </w:tcPr>
          <w:p w14:paraId="4A3D2AC7" w14:textId="0E2146A6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12.244469</w:t>
            </w:r>
          </w:p>
        </w:tc>
      </w:tr>
      <w:tr w:rsidR="00D15E5E" w14:paraId="73D3A307" w14:textId="77777777" w:rsidTr="00D15E5E">
        <w:tc>
          <w:tcPr>
            <w:tcW w:w="1129" w:type="dxa"/>
          </w:tcPr>
          <w:p w14:paraId="160E6C71" w14:textId="0E40DF1C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Laviana</w:t>
            </w:r>
          </w:p>
        </w:tc>
        <w:tc>
          <w:tcPr>
            <w:tcW w:w="1418" w:type="dxa"/>
          </w:tcPr>
          <w:p w14:paraId="4262EA11" w14:textId="3D68389B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 xml:space="preserve">35.76190  </w:t>
            </w:r>
          </w:p>
        </w:tc>
        <w:tc>
          <w:tcPr>
            <w:tcW w:w="1417" w:type="dxa"/>
          </w:tcPr>
          <w:p w14:paraId="67BA5ECC" w14:textId="63C38D4E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9.422870</w:t>
            </w:r>
          </w:p>
        </w:tc>
      </w:tr>
      <w:tr w:rsidR="00D15E5E" w14:paraId="1373DF00" w14:textId="77777777" w:rsidTr="00D15E5E">
        <w:tc>
          <w:tcPr>
            <w:tcW w:w="1129" w:type="dxa"/>
          </w:tcPr>
          <w:p w14:paraId="19224B77" w14:textId="61201954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Luanco </w:t>
            </w:r>
          </w:p>
        </w:tc>
        <w:tc>
          <w:tcPr>
            <w:tcW w:w="1418" w:type="dxa"/>
          </w:tcPr>
          <w:p w14:paraId="53B5DAE3" w14:textId="431DD64B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 xml:space="preserve">35.28877  </w:t>
            </w:r>
          </w:p>
        </w:tc>
        <w:tc>
          <w:tcPr>
            <w:tcW w:w="1417" w:type="dxa"/>
          </w:tcPr>
          <w:p w14:paraId="029B1B53" w14:textId="7731E46E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9.199230</w:t>
            </w:r>
          </w:p>
        </w:tc>
      </w:tr>
      <w:tr w:rsidR="00D15E5E" w14:paraId="5B10BCE5" w14:textId="77777777" w:rsidTr="00D15E5E">
        <w:tc>
          <w:tcPr>
            <w:tcW w:w="1129" w:type="dxa"/>
          </w:tcPr>
          <w:p w14:paraId="5F3EBE0B" w14:textId="5DC8ACCB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Mieres</w:t>
            </w:r>
          </w:p>
        </w:tc>
        <w:tc>
          <w:tcPr>
            <w:tcW w:w="1418" w:type="dxa"/>
          </w:tcPr>
          <w:p w14:paraId="050DA1F0" w14:textId="3DDB9EEC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37.06481</w:t>
            </w:r>
          </w:p>
        </w:tc>
        <w:tc>
          <w:tcPr>
            <w:tcW w:w="1417" w:type="dxa"/>
          </w:tcPr>
          <w:p w14:paraId="770A23EA" w14:textId="36C2FFE5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11.072635</w:t>
            </w:r>
          </w:p>
        </w:tc>
      </w:tr>
      <w:tr w:rsidR="00D15E5E" w14:paraId="02767412" w14:textId="77777777" w:rsidTr="00D15E5E">
        <w:tc>
          <w:tcPr>
            <w:tcW w:w="1129" w:type="dxa"/>
          </w:tcPr>
          <w:p w14:paraId="2C2B84D2" w14:textId="0B5D9849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Oviedo</w:t>
            </w:r>
          </w:p>
        </w:tc>
        <w:tc>
          <w:tcPr>
            <w:tcW w:w="1418" w:type="dxa"/>
          </w:tcPr>
          <w:p w14:paraId="1C9327C9" w14:textId="12CE8FD9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 xml:space="preserve">36.54783  </w:t>
            </w:r>
          </w:p>
        </w:tc>
        <w:tc>
          <w:tcPr>
            <w:tcW w:w="1417" w:type="dxa"/>
          </w:tcPr>
          <w:p w14:paraId="546A0609" w14:textId="01C4ABA3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9.794595</w:t>
            </w:r>
          </w:p>
        </w:tc>
      </w:tr>
      <w:tr w:rsidR="00D15E5E" w14:paraId="25F32B36" w14:textId="77777777" w:rsidTr="00D15E5E">
        <w:tc>
          <w:tcPr>
            <w:tcW w:w="1129" w:type="dxa"/>
          </w:tcPr>
          <w:p w14:paraId="154F8021" w14:textId="6BD537DD" w:rsidR="00D15E5E" w:rsidRDefault="00D15E5E" w:rsidP="00D15E5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Pravia</w:t>
            </w:r>
          </w:p>
        </w:tc>
        <w:tc>
          <w:tcPr>
            <w:tcW w:w="1418" w:type="dxa"/>
          </w:tcPr>
          <w:p w14:paraId="25F31E33" w14:textId="56E1EDAC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 xml:space="preserve">37.16667  </w:t>
            </w:r>
          </w:p>
        </w:tc>
        <w:tc>
          <w:tcPr>
            <w:tcW w:w="1417" w:type="dxa"/>
          </w:tcPr>
          <w:p w14:paraId="7ADA5B72" w14:textId="4F493C7E" w:rsidR="00D15E5E" w:rsidRDefault="00D15E5E" w:rsidP="00D15E5E">
            <w:pPr>
              <w:rPr>
                <w:rFonts w:ascii="Verdana" w:hAnsi="Verdana"/>
                <w:sz w:val="20"/>
              </w:rPr>
            </w:pPr>
            <w:r w:rsidRPr="006353A9">
              <w:rPr>
                <w:rFonts w:ascii="Verdana" w:hAnsi="Verdana"/>
                <w:sz w:val="20"/>
              </w:rPr>
              <w:t>9.138781</w:t>
            </w:r>
          </w:p>
        </w:tc>
      </w:tr>
    </w:tbl>
    <w:p w14:paraId="2D173592" w14:textId="511A1BB0" w:rsidR="00C9221F" w:rsidRDefault="00C9221F">
      <w:pPr>
        <w:rPr>
          <w:rFonts w:ascii="Verdana" w:hAnsi="Verdana"/>
          <w:sz w:val="20"/>
        </w:rPr>
      </w:pPr>
    </w:p>
    <w:p w14:paraId="71A512F7" w14:textId="64D57A60" w:rsidR="00DB6EA1" w:rsidRDefault="00DB6EA1">
      <w:pPr>
        <w:rPr>
          <w:rFonts w:ascii="Verdana" w:hAnsi="Verdana"/>
          <w:sz w:val="20"/>
        </w:rPr>
      </w:pPr>
    </w:p>
    <w:p w14:paraId="6CC49D66" w14:textId="4DD73ACE" w:rsidR="00DB6EA1" w:rsidRDefault="00DB6EA1">
      <w:pPr>
        <w:rPr>
          <w:rFonts w:ascii="Verdana" w:hAnsi="Verdana"/>
          <w:sz w:val="20"/>
        </w:rPr>
      </w:pPr>
    </w:p>
    <w:p w14:paraId="54F7C847" w14:textId="40CB24A8" w:rsidR="00DB6EA1" w:rsidRDefault="00DB6EA1">
      <w:pPr>
        <w:rPr>
          <w:rFonts w:ascii="Verdana" w:hAnsi="Verdana"/>
          <w:sz w:val="20"/>
        </w:rPr>
      </w:pPr>
    </w:p>
    <w:p w14:paraId="4C4A2B34" w14:textId="5468527D" w:rsidR="00DB6EA1" w:rsidRDefault="00DB6EA1">
      <w:pPr>
        <w:rPr>
          <w:rFonts w:ascii="Verdana" w:hAnsi="Verdana"/>
          <w:sz w:val="20"/>
        </w:rPr>
      </w:pPr>
    </w:p>
    <w:p w14:paraId="11FB5E33" w14:textId="77777777" w:rsidR="00DB6EA1" w:rsidRPr="00C9221F" w:rsidRDefault="00DB6EA1">
      <w:pPr>
        <w:rPr>
          <w:rFonts w:ascii="Verdana" w:hAnsi="Verdana"/>
          <w:sz w:val="20"/>
        </w:rPr>
      </w:pPr>
    </w:p>
    <w:p w14:paraId="73B83D2C" w14:textId="6E4DBDAD" w:rsidR="006353A9" w:rsidRDefault="00DB6EA1" w:rsidP="006353A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Para el estudio de cada centro extraeremos la parte de la muestra correspondiente a dicho centro con el siguiente comando:</w:t>
      </w:r>
    </w:p>
    <w:p w14:paraId="377278FB" w14:textId="7359930E" w:rsidR="00DB6EA1" w:rsidRDefault="00DB6EA1" w:rsidP="006353A9">
      <w:pPr>
        <w:rPr>
          <w:rFonts w:ascii="Verdana" w:hAnsi="Verdana"/>
          <w:sz w:val="20"/>
        </w:rPr>
      </w:pPr>
      <w:r w:rsidRPr="00DB6EA1">
        <w:rPr>
          <w:rFonts w:ascii="Verdana" w:hAnsi="Verdana"/>
          <w:sz w:val="20"/>
        </w:rPr>
        <w:t>Psicologia[which(Psicologia$CENTRO=='</w:t>
      </w:r>
      <w:r>
        <w:rPr>
          <w:rFonts w:ascii="Verdana" w:hAnsi="Verdana"/>
          <w:sz w:val="20"/>
        </w:rPr>
        <w:t>nombre</w:t>
      </w:r>
      <w:r w:rsidRPr="00DB6EA1">
        <w:rPr>
          <w:rFonts w:ascii="Verdana" w:hAnsi="Verdana"/>
          <w:sz w:val="20"/>
        </w:rPr>
        <w:t>'),]</w:t>
      </w:r>
    </w:p>
    <w:p w14:paraId="4E6B79B2" w14:textId="4BD8230E" w:rsidR="00DB6EA1" w:rsidRDefault="00DB6EA1" w:rsidP="006353A9">
      <w:pPr>
        <w:rPr>
          <w:rFonts w:ascii="Verdana" w:hAnsi="Verdana"/>
          <w:sz w:val="20"/>
        </w:rPr>
      </w:pPr>
    </w:p>
    <w:p w14:paraId="3DC5B743" w14:textId="1AB733D1" w:rsidR="00855544" w:rsidRDefault="00855544" w:rsidP="006353A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Nuestro primer objetivo será comprobar si el nivel de ansiedad es el mismo en los distintos centros.</w:t>
      </w:r>
    </w:p>
    <w:p w14:paraId="1CBE2F00" w14:textId="77777777" w:rsidR="00A1449E" w:rsidRDefault="00DB6EA1" w:rsidP="006353A9">
      <w:r>
        <w:rPr>
          <w:rFonts w:ascii="Verdana" w:hAnsi="Verdana"/>
          <w:sz w:val="20"/>
        </w:rPr>
        <w:t xml:space="preserve">Primero comprobaremos la normalidad de los datos según </w:t>
      </w:r>
      <w:r w:rsidR="00A1449E">
        <w:rPr>
          <w:rFonts w:ascii="Verdana" w:hAnsi="Verdana"/>
          <w:sz w:val="20"/>
        </w:rPr>
        <w:t>el centro al realizar una comparación con los cuantiles de la normal, la gráfica qqPlot:</w:t>
      </w:r>
      <w:r w:rsidR="00A1449E" w:rsidRPr="00A1449E">
        <w:t xml:space="preserve"> </w:t>
      </w:r>
    </w:p>
    <w:p w14:paraId="06F76279" w14:textId="658B9E9F" w:rsidR="00DB6EA1" w:rsidRDefault="00A1449E" w:rsidP="006353A9">
      <w:pPr>
        <w:rPr>
          <w:rFonts w:ascii="Verdana" w:hAnsi="Verdana"/>
          <w:sz w:val="20"/>
        </w:rPr>
      </w:pPr>
      <w:r w:rsidRPr="00A1449E">
        <w:rPr>
          <w:rFonts w:ascii="Verdana" w:hAnsi="Verdana"/>
          <w:sz w:val="20"/>
        </w:rPr>
        <w:t>with(Psicologia[which(Psicologia$CENTRO==</w:t>
      </w:r>
      <w:r w:rsidRPr="00A1449E">
        <w:rPr>
          <w:rFonts w:ascii="Verdana" w:hAnsi="Verdana"/>
          <w:sz w:val="20"/>
        </w:rPr>
        <w:t>'</w:t>
      </w:r>
      <w:r>
        <w:rPr>
          <w:rFonts w:ascii="Verdana" w:hAnsi="Verdana"/>
          <w:sz w:val="20"/>
        </w:rPr>
        <w:t>Avilés1</w:t>
      </w:r>
      <w:r w:rsidRPr="00A1449E">
        <w:rPr>
          <w:rFonts w:ascii="Verdana" w:hAnsi="Verdana"/>
          <w:sz w:val="20"/>
        </w:rPr>
        <w:t>'</w:t>
      </w:r>
      <w:r w:rsidRPr="00A1449E">
        <w:rPr>
          <w:rFonts w:ascii="Verdana" w:hAnsi="Verdana"/>
          <w:sz w:val="20"/>
        </w:rPr>
        <w:t>),], qqPlot(Ansiedad, dist="norm", id.method="y", id.n=2, labels=rownames(Psicologia)))</w:t>
      </w:r>
    </w:p>
    <w:p w14:paraId="38513578" w14:textId="36625F0D" w:rsidR="00A1449E" w:rsidRDefault="00A1449E" w:rsidP="006353A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Vemos que en su gran mayoría los datos se encuentran próximos a la recta de la normalidad estando entre las curvas discontinuas, </w:t>
      </w:r>
      <w:r w:rsidR="00855544">
        <w:rPr>
          <w:rFonts w:ascii="Verdana" w:hAnsi="Verdana"/>
          <w:sz w:val="20"/>
        </w:rPr>
        <w:t>aunque en ciertos centros un considerable número de datos se encuentran fuera. Para confirmar la normalidad realizamos un test de normalidad de Shapiro-Wilk e interpretando los p-valores tenemos que sólo Laviana y Pravia siguen una distribución normal.</w:t>
      </w:r>
    </w:p>
    <w:p w14:paraId="699F6E01" w14:textId="3B6FFAAA" w:rsidR="00C95946" w:rsidRDefault="00C95946" w:rsidP="006353A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Tratamos de ver la homocedasticidad,</w:t>
      </w:r>
      <w:r w:rsidR="0096569A">
        <w:rPr>
          <w:rFonts w:ascii="Verdana" w:hAnsi="Verdana"/>
          <w:sz w:val="20"/>
        </w:rPr>
        <w:t xml:space="preserve"> como no tenemos la normalidad de todas las variables no usaremos el test de Bartlett, ahora con </w:t>
      </w:r>
      <w:r>
        <w:rPr>
          <w:rFonts w:ascii="Verdana" w:hAnsi="Verdana"/>
          <w:sz w:val="20"/>
        </w:rPr>
        <w:t xml:space="preserve">el test de </w:t>
      </w:r>
      <w:r w:rsidR="0096569A">
        <w:rPr>
          <w:rFonts w:ascii="Verdana" w:hAnsi="Verdana"/>
          <w:sz w:val="20"/>
        </w:rPr>
        <w:t>Levenne</w:t>
      </w:r>
      <w:r>
        <w:rPr>
          <w:rFonts w:ascii="Verdana" w:hAnsi="Verdana"/>
          <w:sz w:val="20"/>
        </w:rPr>
        <w:t xml:space="preserve"> tenemos un p-valor=</w:t>
      </w:r>
      <w:r w:rsidR="0096569A" w:rsidRPr="0096569A">
        <w:t xml:space="preserve"> </w:t>
      </w:r>
      <w:r w:rsidR="0096569A" w:rsidRPr="0096569A">
        <w:rPr>
          <w:rFonts w:ascii="Verdana" w:hAnsi="Verdana"/>
          <w:sz w:val="20"/>
        </w:rPr>
        <w:t>0.0545</w:t>
      </w:r>
      <w:r w:rsidR="00855544">
        <w:rPr>
          <w:rFonts w:ascii="Verdana" w:hAnsi="Verdana"/>
          <w:sz w:val="20"/>
        </w:rPr>
        <w:t xml:space="preserve">, </w:t>
      </w:r>
      <w:r w:rsidR="0096569A">
        <w:rPr>
          <w:rFonts w:ascii="Verdana" w:hAnsi="Verdana"/>
          <w:sz w:val="20"/>
        </w:rPr>
        <w:t>además</w:t>
      </w:r>
      <w:r w:rsidR="00855544">
        <w:rPr>
          <w:rFonts w:ascii="Verdana" w:hAnsi="Verdana"/>
          <w:sz w:val="20"/>
        </w:rPr>
        <w:t xml:space="preserve"> como sabemos que la desviación típica del centro Avilés2 es la que más difiere del resto</w:t>
      </w:r>
      <w:r w:rsidR="0096569A">
        <w:rPr>
          <w:rFonts w:ascii="Verdana" w:hAnsi="Verdana"/>
          <w:sz w:val="20"/>
        </w:rPr>
        <w:t>, si la</w:t>
      </w:r>
      <w:r w:rsidR="00855544">
        <w:rPr>
          <w:rFonts w:ascii="Verdana" w:hAnsi="Verdana"/>
          <w:sz w:val="20"/>
        </w:rPr>
        <w:t xml:space="preserve"> ignoramos y repetimos el test de </w:t>
      </w:r>
      <w:r w:rsidR="0096569A">
        <w:rPr>
          <w:rFonts w:ascii="Verdana" w:hAnsi="Verdana"/>
          <w:sz w:val="20"/>
        </w:rPr>
        <w:t>Levenne obtenemos</w:t>
      </w:r>
      <w:r w:rsidR="00855544">
        <w:rPr>
          <w:rFonts w:ascii="Verdana" w:hAnsi="Verdana"/>
          <w:sz w:val="20"/>
        </w:rPr>
        <w:t xml:space="preserve"> un p-valor=</w:t>
      </w:r>
      <w:r w:rsidR="00E35D34" w:rsidRPr="00E35D34">
        <w:t xml:space="preserve"> </w:t>
      </w:r>
      <w:r w:rsidR="00E35D34" w:rsidRPr="00E35D34">
        <w:rPr>
          <w:rFonts w:ascii="Verdana" w:hAnsi="Verdana"/>
          <w:sz w:val="20"/>
        </w:rPr>
        <w:t>0.657</w:t>
      </w:r>
      <w:r w:rsidR="00855544">
        <w:rPr>
          <w:rFonts w:ascii="Verdana" w:hAnsi="Verdana"/>
          <w:sz w:val="20"/>
        </w:rPr>
        <w:t>.</w:t>
      </w:r>
    </w:p>
    <w:p w14:paraId="4BB7B42B" w14:textId="77777777" w:rsidR="0096569A" w:rsidRDefault="0096569A" w:rsidP="00890384">
      <w:pPr>
        <w:rPr>
          <w:rFonts w:ascii="Verdana" w:hAnsi="Verdana"/>
          <w:sz w:val="20"/>
        </w:rPr>
      </w:pPr>
      <w:r w:rsidRPr="0096569A">
        <w:rPr>
          <w:rFonts w:ascii="Verdana" w:hAnsi="Verdana"/>
          <w:sz w:val="20"/>
        </w:rPr>
        <w:t>leveneTest(Ansiedad ~ CENTRO, data=Psicologia[which(Psicologia$CENTRO!='Avilés2'),], center="median")</w:t>
      </w:r>
    </w:p>
    <w:p w14:paraId="27162F7F" w14:textId="7511ECD6" w:rsidR="00A50740" w:rsidRDefault="00A50740" w:rsidP="00890384">
      <w:pPr>
        <w:rPr>
          <w:rFonts w:ascii="Verdana" w:hAnsi="Verdana"/>
          <w:sz w:val="20"/>
        </w:rPr>
      </w:pPr>
      <w:bookmarkStart w:id="0" w:name="_GoBack"/>
      <w:bookmarkEnd w:id="0"/>
      <w:r>
        <w:rPr>
          <w:rFonts w:ascii="Verdana" w:hAnsi="Verdana"/>
          <w:sz w:val="20"/>
        </w:rPr>
        <w:lastRenderedPageBreak/>
        <w:t>Comprobada la normalidad y homocedasticidad y teniendo en cuenta que son muestras independientes podemos hacer el test ANOVA para comparar el centro Laviana y Pravia:</w:t>
      </w:r>
    </w:p>
    <w:p w14:paraId="039829FD" w14:textId="77777777" w:rsidR="00A50740" w:rsidRPr="00A50740" w:rsidRDefault="00A50740" w:rsidP="00A50740">
      <w:pPr>
        <w:rPr>
          <w:rFonts w:ascii="Verdana" w:hAnsi="Verdana"/>
          <w:sz w:val="20"/>
        </w:rPr>
      </w:pPr>
      <w:r w:rsidRPr="00A50740">
        <w:rPr>
          <w:rFonts w:ascii="Verdana" w:hAnsi="Verdana"/>
          <w:sz w:val="20"/>
        </w:rPr>
        <w:t>AnovaModel.2 &lt;- aov(Ansiedad ~ CENTRO, data=Psicologia[which(Psicologia$CENTRO==c('Pravia','Laviana')),])</w:t>
      </w:r>
    </w:p>
    <w:p w14:paraId="7F8F6ED3" w14:textId="77777777" w:rsidR="00A50740" w:rsidRPr="00A50740" w:rsidRDefault="00A50740" w:rsidP="00A50740">
      <w:pPr>
        <w:rPr>
          <w:rFonts w:ascii="Verdana" w:hAnsi="Verdana"/>
          <w:sz w:val="20"/>
        </w:rPr>
      </w:pPr>
      <w:r w:rsidRPr="00A50740">
        <w:rPr>
          <w:rFonts w:ascii="Verdana" w:hAnsi="Verdana"/>
          <w:sz w:val="20"/>
        </w:rPr>
        <w:t>summary(AnovaModel.2)</w:t>
      </w:r>
    </w:p>
    <w:p w14:paraId="5F997468" w14:textId="741E6D1A" w:rsidR="00A50740" w:rsidRDefault="00A50740" w:rsidP="00A50740">
      <w:pPr>
        <w:rPr>
          <w:rFonts w:ascii="Verdana" w:hAnsi="Verdana"/>
          <w:sz w:val="20"/>
        </w:rPr>
      </w:pPr>
      <w:r w:rsidRPr="00A50740">
        <w:rPr>
          <w:rFonts w:ascii="Verdana" w:hAnsi="Verdana"/>
          <w:sz w:val="20"/>
        </w:rPr>
        <w:t>with(Psicologia[which(Psicologia$CENTRO==c('Pravia','Laviana')),], numSummary(Ansiedad, groups=CENTRO, statistics=c("mean", "sd")))</w:t>
      </w:r>
    </w:p>
    <w:p w14:paraId="4E4C7847" w14:textId="73AA0EF4" w:rsidR="00A50740" w:rsidRPr="006353A9" w:rsidRDefault="00A50740" w:rsidP="00A50740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Obteniendo un p-valor=</w:t>
      </w:r>
      <w:r w:rsidRPr="00A50740">
        <w:rPr>
          <w:rFonts w:ascii="Verdana" w:hAnsi="Verdana"/>
          <w:sz w:val="20"/>
        </w:rPr>
        <w:t>0.865</w:t>
      </w:r>
      <w:r>
        <w:rPr>
          <w:rFonts w:ascii="Verdana" w:hAnsi="Verdana"/>
          <w:sz w:val="20"/>
        </w:rPr>
        <w:t xml:space="preserve"> por lo que confirmamos que los datos de Laviana y Pravia provienen de una misma distribución</w:t>
      </w:r>
    </w:p>
    <w:sectPr w:rsidR="00A50740" w:rsidRPr="006353A9" w:rsidSect="00C92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A"/>
    <w:rsid w:val="00041D6B"/>
    <w:rsid w:val="002C1AF6"/>
    <w:rsid w:val="00357400"/>
    <w:rsid w:val="00520A2E"/>
    <w:rsid w:val="006353A9"/>
    <w:rsid w:val="00855544"/>
    <w:rsid w:val="00890384"/>
    <w:rsid w:val="0096569A"/>
    <w:rsid w:val="00A1449E"/>
    <w:rsid w:val="00A5031A"/>
    <w:rsid w:val="00A50740"/>
    <w:rsid w:val="00C9221F"/>
    <w:rsid w:val="00C95946"/>
    <w:rsid w:val="00D15E5E"/>
    <w:rsid w:val="00DB6EA1"/>
    <w:rsid w:val="00E3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930C"/>
  <w15:chartTrackingRefBased/>
  <w15:docId w15:val="{0FA6B47E-BB65-4FC1-94B7-73A99A56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3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anormal"/>
    <w:uiPriority w:val="99"/>
    <w:qFormat/>
    <w:rsid w:val="00C9221F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2018-04-13T18:34:00Z</dcterms:created>
  <dcterms:modified xsi:type="dcterms:W3CDTF">2018-04-13T18:49:00Z</dcterms:modified>
</cp:coreProperties>
</file>