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sz w:val="24"/>
          <w:szCs w:val="24"/>
        </w:rPr>
        <w:t xml:space="preserve">Solicitation 36C24E26Q0054 — Good Clinical Practice (GCP) Clinical Research Quality Associate (CRQA) Monitoring Services</w:t>
      </w:r>
    </w:p>
    <w:p>
      <w:pPr>
        <w:spacing w:after="160"/>
        <w:jc w:val="center"/>
      </w:pPr>
      <w:r>
        <w:rPr>
          <w:rFonts w:ascii="Times New Roman" w:cs="Times New Roman" w:eastAsia="Times New Roman" w:hAnsi="Times New Roman"/>
          <w:b/>
          <w:bCs/>
          <w:i w:val="false"/>
          <w:iCs w:val="false"/>
          <w:sz w:val="24"/>
          <w:szCs w:val="24"/>
        </w:rPr>
        <w:t xml:space="preserve">Section 4 Government Property</w:t>
      </w:r>
    </w:p>
    <w:p>
      <w:pPr>
        <w:spacing w:after="60"/>
        <w:jc w:val="center"/>
      </w:pPr>
      <w:r>
        <w:rPr>
          <w:rFonts w:ascii="Times New Roman" w:cs="Times New Roman" w:eastAsia="Times New Roman" w:hAnsi="Times New Roman"/>
          <w:b w:val="false"/>
          <w:bCs w:val="false"/>
          <w:i w:val="false"/>
          <w:iCs w:val="false"/>
          <w:sz w:val="24"/>
          <w:szCs w:val="24"/>
        </w:rPr>
        <w:t xml:space="preserve">Pacific Research Group LLC · UEI J585TLDV1CH1 · CAGE 1Z9B6</w:t>
      </w:r>
    </w:p>
    <w:p>
      <w:pPr>
        <w:spacing w:after="120" w:before="240"/>
      </w:pPr>
      <w:r>
        <w:rPr>
          <w:rFonts w:ascii="Times New Roman" w:cs="Times New Roman" w:eastAsia="Times New Roman" w:hAnsi="Times New Roman"/>
          <w:b/>
          <w:bCs/>
          <w:sz w:val="24"/>
          <w:szCs w:val="24"/>
        </w:rPr>
        <w:t xml:space="preserve">1. Government Property Proposed for Rent-Free Use</w:t>
      </w:r>
    </w:p>
    <w:p>
      <w:pPr>
        <w:spacing w:after="160"/>
        <w:jc w:val="left"/>
      </w:pPr>
      <w:r>
        <w:rPr>
          <w:rFonts w:ascii="Times New Roman" w:cs="Times New Roman" w:eastAsia="Times New Roman" w:hAnsi="Times New Roman"/>
          <w:b w:val="false"/>
          <w:bCs w:val="false"/>
          <w:i w:val="false"/>
          <w:iCs w:val="false"/>
          <w:sz w:val="24"/>
          <w:szCs w:val="24"/>
        </w:rPr>
        <w:t xml:space="preserve">None. Pacific Research Group LLC will perform using contractor-furnished equipment. Remote monitoring activities use Government-provided system access (accounts and remote connectivity) as directed by SMART, which constitutes access rather than accountable Government property.</w:t>
      </w:r>
    </w:p>
    <w:p>
      <w:pPr>
        <w:spacing w:after="120" w:before="240"/>
      </w:pPr>
      <w:r>
        <w:rPr>
          <w:rFonts w:ascii="Times New Roman" w:cs="Times New Roman" w:eastAsia="Times New Roman" w:hAnsi="Times New Roman"/>
          <w:b/>
          <w:bCs/>
          <w:sz w:val="24"/>
          <w:szCs w:val="24"/>
        </w:rPr>
        <w:t xml:space="preserve">2. Dates of Use</w:t>
      </w:r>
    </w:p>
    <w:p>
      <w:pPr>
        <w:spacing w:after="160"/>
        <w:jc w:val="left"/>
      </w:pPr>
      <w:r>
        <w:rPr>
          <w:rFonts w:ascii="Times New Roman" w:cs="Times New Roman" w:eastAsia="Times New Roman" w:hAnsi="Times New Roman"/>
          <w:b w:val="false"/>
          <w:bCs w:val="false"/>
          <w:i w:val="false"/>
          <w:iCs w:val="false"/>
          <w:sz w:val="24"/>
          <w:szCs w:val="24"/>
        </w:rPr>
        <w:t xml:space="preserve">Not applicable; no Government property is requested.</w:t>
      </w:r>
    </w:p>
    <w:p>
      <w:pPr>
        <w:spacing w:after="120" w:before="240"/>
      </w:pPr>
      <w:r>
        <w:rPr>
          <w:rFonts w:ascii="Times New Roman" w:cs="Times New Roman" w:eastAsia="Times New Roman" w:hAnsi="Times New Roman"/>
          <w:b/>
          <w:bCs/>
          <w:sz w:val="24"/>
          <w:szCs w:val="24"/>
        </w:rPr>
        <w:t xml:space="preserve">3. Property Management System and Practices</w:t>
      </w:r>
    </w:p>
    <w:p>
      <w:pPr>
        <w:spacing w:after="160"/>
        <w:jc w:val="left"/>
      </w:pPr>
      <w:r>
        <w:rPr>
          <w:rFonts w:ascii="Times New Roman" w:cs="Times New Roman" w:eastAsia="Times New Roman" w:hAnsi="Times New Roman"/>
          <w:b w:val="false"/>
          <w:bCs w:val="false"/>
          <w:i w:val="false"/>
          <w:iCs w:val="false"/>
          <w:sz w:val="24"/>
          <w:szCs w:val="24"/>
        </w:rPr>
        <w:t xml:space="preserve">Notwithstanding the above, PRG maintains a property management practice aligned to the principles of FAR 52.245-1 and customary commercial practice (ASTM E2452): item identification and records, physical control, reporting of loss or damage within 24 hours, and return or disposition per Contracting Officer direction. These practices apply to any Government access credentials, tokens, or property incidentally furnished during performance.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2026-08-18T00:27:40.711Z</dcterms:created>
  <dcterms:modified xsi:type="dcterms:W3CDTF">2026-08-18T00:27:40.711Z</dcterms:modified>
</cp:coreProperties>
</file>

<file path=docProps/custom.xml><?xml version="1.0" encoding="utf-8"?>
<Properties xmlns="http://schemas.openxmlformats.org/officeDocument/2006/custom-properties" xmlns:vt="http://schemas.openxmlformats.org/officeDocument/2006/docPropsVTypes"/>
</file>