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center"/>
      </w:pPr>
      <w:r>
        <w:rPr>
          <w:rFonts w:ascii="Times New Roman" w:cs="Times New Roman" w:eastAsia="Times New Roman" w:hAnsi="Times New Roman"/>
          <w:b/>
          <w:bCs/>
          <w:i w:val="false"/>
          <w:iCs w:val="false"/>
          <w:sz w:val="24"/>
          <w:szCs w:val="24"/>
        </w:rPr>
        <w:t xml:space="preserve">Quote — Solicitation 36C24E26Q0054</w:t>
      </w:r>
    </w:p>
    <w:p>
      <w:pPr>
        <w:spacing w:after="160"/>
        <w:jc w:val="center"/>
      </w:pPr>
      <w:r>
        <w:rPr>
          <w:rFonts w:ascii="Times New Roman" w:cs="Times New Roman" w:eastAsia="Times New Roman" w:hAnsi="Times New Roman"/>
          <w:b/>
          <w:bCs/>
          <w:i w:val="false"/>
          <w:iCs w:val="false"/>
          <w:sz w:val="24"/>
          <w:szCs w:val="24"/>
        </w:rPr>
        <w:t xml:space="preserve">Good Clinical Practice (GCP) Clinical Research Quality Associate (CRQA) Monitoring Services</w:t>
      </w:r>
    </w:p>
    <w:p>
      <w:pPr>
        <w:spacing w:after="160"/>
        <w:jc w:val="center"/>
      </w:pPr>
      <w:r>
        <w:rPr>
          <w:rFonts w:ascii="Times New Roman" w:cs="Times New Roman" w:eastAsia="Times New Roman" w:hAnsi="Times New Roman"/>
          <w:b/>
          <w:bCs/>
          <w:i w:val="false"/>
          <w:iCs w:val="false"/>
          <w:sz w:val="24"/>
          <w:szCs w:val="24"/>
        </w:rPr>
        <w:t xml:space="preserve">Section 3 Redacted Technical</w:t>
      </w:r>
    </w:p>
    <w:p>
      <w:pPr>
        <w:spacing w:after="160"/>
        <w:jc w:val="center"/>
      </w:pPr>
      <w:r>
        <w:rPr>
          <w:rFonts w:ascii="Times New Roman" w:cs="Times New Roman" w:eastAsia="Times New Roman" w:hAnsi="Times New Roman"/>
          <w:b w:val="false"/>
          <w:bCs w:val="false"/>
          <w:i w:val="false"/>
          <w:iCs w:val="false"/>
          <w:sz w:val="24"/>
          <w:szCs w:val="24"/>
        </w:rPr>
        <w:t xml:space="preserve"/>
      </w:r>
    </w:p>
    <w:p>
      <w:pPr>
        <w:pageBreakBefore/>
      </w:pPr>
    </w:p>
    <w:p>
      <w:pPr>
        <w:spacing w:after="160"/>
        <w:jc w:val="left"/>
      </w:pPr>
      <w:r>
        <w:rPr>
          <w:rFonts w:ascii="Times New Roman" w:cs="Times New Roman" w:eastAsia="Times New Roman" w:hAnsi="Times New Roman"/>
          <w:b/>
          <w:bCs/>
          <w:i w:val="false"/>
          <w:iCs w:val="false"/>
          <w:sz w:val="24"/>
          <w:szCs w:val="24"/>
        </w:rPr>
        <w:t xml:space="preserve">Table of Contents</w:t>
      </w:r>
    </w:p>
    <w:p>
      <w:pPr>
        <w:spacing w:after="60"/>
        <w:jc w:val="left"/>
      </w:pPr>
      <w:r>
        <w:rPr>
          <w:rFonts w:ascii="Times New Roman" w:cs="Times New Roman" w:eastAsia="Times New Roman" w:hAnsi="Times New Roman"/>
          <w:b w:val="false"/>
          <w:bCs w:val="false"/>
          <w:i w:val="false"/>
          <w:iCs w:val="false"/>
          <w:sz w:val="24"/>
          <w:szCs w:val="24"/>
        </w:rPr>
        <w:t xml:space="preserve">1. Understanding of the Requirement</w:t>
      </w:r>
    </w:p>
    <w:p>
      <w:pPr>
        <w:spacing w:after="60"/>
        <w:jc w:val="left"/>
      </w:pPr>
      <w:r>
        <w:rPr>
          <w:rFonts w:ascii="Times New Roman" w:cs="Times New Roman" w:eastAsia="Times New Roman" w:hAnsi="Times New Roman"/>
          <w:b w:val="false"/>
          <w:bCs w:val="false"/>
          <w:i w:val="false"/>
          <w:iCs w:val="false"/>
          <w:sz w:val="24"/>
          <w:szCs w:val="24"/>
        </w:rPr>
        <w:t xml:space="preserve">2. Technical Approach — General Scope (PWS 4.0)</w:t>
      </w:r>
    </w:p>
    <w:p>
      <w:pPr>
        <w:spacing w:after="60"/>
        <w:jc w:val="left"/>
      </w:pPr>
      <w:r>
        <w:rPr>
          <w:rFonts w:ascii="Times New Roman" w:cs="Times New Roman" w:eastAsia="Times New Roman" w:hAnsi="Times New Roman"/>
          <w:b w:val="false"/>
          <w:bCs w:val="false"/>
          <w:i w:val="false"/>
          <w:iCs w:val="false"/>
          <w:sz w:val="24"/>
          <w:szCs w:val="24"/>
        </w:rPr>
        <w:t xml:space="preserve">3. Task 1 — CRQA Visits with Pre- and Post-Work (PWS 5.1; CLIN x001)</w:t>
      </w:r>
    </w:p>
    <w:p>
      <w:pPr>
        <w:spacing w:after="60"/>
        <w:jc w:val="left"/>
      </w:pPr>
      <w:r>
        <w:rPr>
          <w:rFonts w:ascii="Times New Roman" w:cs="Times New Roman" w:eastAsia="Times New Roman" w:hAnsi="Times New Roman"/>
          <w:b w:val="false"/>
          <w:bCs w:val="false"/>
          <w:i w:val="false"/>
          <w:iCs w:val="false"/>
          <w:sz w:val="24"/>
          <w:szCs w:val="24"/>
        </w:rPr>
        <w:t xml:space="preserve">4. Task 2 — CRQA Visits without Pre- and Post-Work (PWS 5.2; CLIN x001)</w:t>
      </w:r>
    </w:p>
    <w:p>
      <w:pPr>
        <w:spacing w:after="60"/>
        <w:jc w:val="left"/>
      </w:pPr>
      <w:r>
        <w:rPr>
          <w:rFonts w:ascii="Times New Roman" w:cs="Times New Roman" w:eastAsia="Times New Roman" w:hAnsi="Times New Roman"/>
          <w:b w:val="false"/>
          <w:bCs w:val="false"/>
          <w:i w:val="false"/>
          <w:iCs w:val="false"/>
          <w:sz w:val="24"/>
          <w:szCs w:val="24"/>
        </w:rPr>
        <w:t xml:space="preserve">5. Task 3 — GCP Program Quality Support (PWS 5.3; CLIN x002)</w:t>
      </w:r>
    </w:p>
    <w:p>
      <w:pPr>
        <w:spacing w:after="60"/>
        <w:jc w:val="left"/>
      </w:pPr>
      <w:r>
        <w:rPr>
          <w:rFonts w:ascii="Times New Roman" w:cs="Times New Roman" w:eastAsia="Times New Roman" w:hAnsi="Times New Roman"/>
          <w:b w:val="false"/>
          <w:bCs w:val="false"/>
          <w:i w:val="false"/>
          <w:iCs w:val="false"/>
          <w:sz w:val="24"/>
          <w:szCs w:val="24"/>
        </w:rPr>
        <w:t xml:space="preserve">6. Deliverables and Timeliness (PWS 5.4)</w:t>
      </w:r>
    </w:p>
    <w:p>
      <w:pPr>
        <w:spacing w:after="60"/>
        <w:jc w:val="left"/>
      </w:pPr>
      <w:r>
        <w:rPr>
          <w:rFonts w:ascii="Times New Roman" w:cs="Times New Roman" w:eastAsia="Times New Roman" w:hAnsi="Times New Roman"/>
          <w:b w:val="false"/>
          <w:bCs w:val="false"/>
          <w:i w:val="false"/>
          <w:iCs w:val="false"/>
          <w:sz w:val="24"/>
          <w:szCs w:val="24"/>
        </w:rPr>
        <w:t xml:space="preserve">7. Qualifications and Experience (PWS 7.0)</w:t>
      </w:r>
    </w:p>
    <w:p>
      <w:pPr>
        <w:pageBreakBefore/>
      </w:pPr>
    </w:p>
    <w:p>
      <w:pPr>
        <w:spacing w:after="120" w:before="240"/>
      </w:pPr>
      <w:r>
        <w:rPr>
          <w:rFonts w:ascii="Times New Roman" w:cs="Times New Roman" w:eastAsia="Times New Roman" w:hAnsi="Times New Roman"/>
          <w:b/>
          <w:bCs/>
          <w:sz w:val="24"/>
          <w:szCs w:val="24"/>
        </w:rPr>
        <w:t xml:space="preserve">1. Understanding of the Requirement</w:t>
      </w:r>
    </w:p>
    <w:p>
      <w:pPr>
        <w:spacing w:after="160"/>
        <w:jc w:val="left"/>
      </w:pPr>
      <w:r>
        <w:rPr>
          <w:rFonts w:ascii="Times New Roman" w:cs="Times New Roman" w:eastAsia="Times New Roman" w:hAnsi="Times New Roman"/>
          <w:b w:val="false"/>
          <w:bCs w:val="false"/>
          <w:i w:val="false"/>
          <w:iCs w:val="false"/>
          <w:sz w:val="24"/>
          <w:szCs w:val="24"/>
        </w:rPr>
        <w:t xml:space="preserve">The VA Cooperative Studies Program's Site Monitoring, Auditing and Resource Team (SMART), co-located with the CSP Clinical Research Pharmacy Coordinating Center in Albuquerque, safeguards GCP compliance across a portfolio of ongoing multi-site trials — more than 15 protocols actively monitored, spanning therapeutic areas from Alzheimer's disease to urinary tract infection — conducted at VA and affiliated facilities. This requirements contract supplements SMART's authorized staffing with qualified contract CRQAs who execute study-specific monitoring plans developed by the Chief of Monitoring: site initiation and routine visits delivered on-site (with portal-to-portal travel) or as virtual equivalents, off-site review of key critical data, and GCP Program Quality Support (PQS), all under SMART SOPs and Approved Methods and Procedures (AMPs).</w:t>
      </w:r>
    </w:p>
    <w:p>
      <w:pPr>
        <w:spacing w:after="160"/>
        <w:jc w:val="left"/>
      </w:pPr>
      <w:r>
        <w:rPr>
          <w:rFonts w:ascii="Times New Roman" w:cs="Times New Roman" w:eastAsia="Times New Roman" w:hAnsi="Times New Roman"/>
          <w:b w:val="false"/>
          <w:bCs w:val="false"/>
          <w:i w:val="false"/>
          <w:iCs w:val="false"/>
          <w:sz w:val="24"/>
          <w:szCs w:val="24"/>
        </w:rPr>
        <w:t xml:space="preserve">[OFFEROR] understands success is measured not by visits completed but by audit-ready documentation: findings communicated to the SMART study lead immediately upon discovery when serious, reports delivered within seven business days of the last day on site, and corrective actions driven to documented closure. We also understand the operational realities — an estimated 3:1 off-site/on-site visit mix that shifts with each study's monitoring plan and FDA-regulated status, schedules set by SMART leadership, VA credentialing and NACI background investigation requirements governing access, and monitors who must arrive fluent in each trial's protocol, operations manual, and the full reference set in PWS 3.0 (ICH E6(R2), 45 CFR 46, 38 CFR 16, 21 CFR 312/812, FDA Form 1572 requirements, CSP Investigator Guidelines, CSP global SOPs, and SMART SOPs/AMPs).</w:t>
      </w:r>
    </w:p>
    <w:p>
      <w:pPr>
        <w:spacing w:after="120" w:before="240"/>
      </w:pPr>
      <w:r>
        <w:rPr>
          <w:rFonts w:ascii="Times New Roman" w:cs="Times New Roman" w:eastAsia="Times New Roman" w:hAnsi="Times New Roman"/>
          <w:b/>
          <w:bCs/>
          <w:sz w:val="24"/>
          <w:szCs w:val="24"/>
        </w:rPr>
        <w:t xml:space="preserve">2. Technical Approach — General Scope (PWS 4.0)</w:t>
      </w:r>
    </w:p>
    <w:p>
      <w:pPr>
        <w:pStyle w:val="ListParagraph"/>
        <w:numPr>
          <w:ilvl w:val="0"/>
          <w:numId w:val="1"/>
        </w:numPr>
        <w:spacing w:after="80"/>
      </w:pPr>
      <w:r>
        <w:rPr>
          <w:rFonts w:ascii="Times New Roman" w:cs="Times New Roman" w:eastAsia="Times New Roman" w:hAnsi="Times New Roman"/>
          <w:sz w:val="24"/>
          <w:szCs w:val="24"/>
        </w:rPr>
        <w:t xml:space="preserve">Named, PWS 7.3-qualified CRQAs assigned per task order, identified with full supporting documentation within 30 days of notification (PWS 4.2), drawn from a credential-verified monitor bench sized to surge with task-order volume.</w:t>
      </w:r>
    </w:p>
    <w:p>
      <w:pPr>
        <w:pStyle w:val="ListParagraph"/>
        <w:numPr>
          <w:ilvl w:val="0"/>
          <w:numId w:val="1"/>
        </w:numPr>
        <w:spacing w:after="80"/>
      </w:pPr>
      <w:r>
        <w:rPr>
          <w:rFonts w:ascii="Times New Roman" w:cs="Times New Roman" w:eastAsia="Times New Roman" w:hAnsi="Times New Roman"/>
          <w:sz w:val="24"/>
          <w:szCs w:val="24"/>
        </w:rPr>
        <w:t xml:space="preserve">Each monitor is onboarded to the specific trial before the first visit: the study's integrated monitoring plan, protocol and operations manual, SMART SOP/AMP alignment, and completion of all VA/CSP/SMART-required training (PWS 5.3.7).</w:t>
      </w:r>
    </w:p>
    <w:p>
      <w:pPr>
        <w:pStyle w:val="ListParagraph"/>
        <w:numPr>
          <w:ilvl w:val="0"/>
          <w:numId w:val="1"/>
        </w:numPr>
        <w:spacing w:after="80"/>
      </w:pPr>
      <w:r>
        <w:rPr>
          <w:rFonts w:ascii="Times New Roman" w:cs="Times New Roman" w:eastAsia="Times New Roman" w:hAnsi="Times New Roman"/>
          <w:sz w:val="24"/>
          <w:szCs w:val="24"/>
        </w:rPr>
        <w:t xml:space="preserve">Scheduling discipline: visits approved by the monitoring study Lead, coordinated directly with site coordinators and investigators, announced through the SMART PM email group using the provided templates, and documented so invoiced quantities trace to the CLIN block structure (pre/post package, on-site day, portal-to-portal travel leg).</w:t>
      </w:r>
    </w:p>
    <w:p>
      <w:pPr>
        <w:spacing w:after="120" w:before="240"/>
      </w:pPr>
      <w:r>
        <w:rPr>
          <w:rFonts w:ascii="Times New Roman" w:cs="Times New Roman" w:eastAsia="Times New Roman" w:hAnsi="Times New Roman"/>
          <w:b/>
          <w:bCs/>
          <w:sz w:val="24"/>
          <w:szCs w:val="24"/>
        </w:rPr>
        <w:t xml:space="preserve">3. Task 1 — CRQA Visits with Pre- and Post-Work (PWS 5.1; CLIN x001)</w:t>
      </w:r>
    </w:p>
    <w:p>
      <w:pPr>
        <w:spacing w:after="160"/>
        <w:jc w:val="left"/>
      </w:pPr>
      <w:r>
        <w:rPr>
          <w:rFonts w:ascii="Times New Roman" w:cs="Times New Roman" w:eastAsia="Times New Roman" w:hAnsi="Times New Roman"/>
          <w:b w:val="false"/>
          <w:bCs w:val="false"/>
          <w:i w:val="false"/>
          <w:iCs w:val="false"/>
          <w:sz w:val="24"/>
          <w:szCs w:val="24"/>
        </w:rPr>
        <w:t xml:space="preserve">Site initiation visits (PWS 5.1.1): scheduled after the Investigator's Meeting and conducted to the CRQA Monitoring Plan with the support of the Lead CRQA. The evaluation covers, at minimum, every element of PWS 5.1.1.2 — protocol procedures including inclusion/exclusion criteria, the informed consent process, screening, randomization, investigational product accountability, UAE/SAE reporting, source document review and verification, CRF completion and QA procedures, IRB policies, regulatory document completion, site correspondence, and un-blinding procedures for blinded studies — plus trial-specific items. The monitor verifies the regulatory file inventory of PWS 5.1.1.3 (current IRB approvals for protocol and consents, IRB membership documentation, investigator agreements, financial disclosures, CVs, indemnity agreements, and GCP/HIPAA/HSP training records) and confirms the study management documents of PWS 5.1.1.4 are complete and filed in the Essential Document Binder.</w:t>
      </w:r>
    </w:p>
    <w:p>
      <w:pPr>
        <w:spacing w:after="160"/>
        <w:jc w:val="left"/>
      </w:pPr>
      <w:r>
        <w:rPr>
          <w:rFonts w:ascii="Times New Roman" w:cs="Times New Roman" w:eastAsia="Times New Roman" w:hAnsi="Times New Roman"/>
          <w:b w:val="false"/>
          <w:bCs w:val="false"/>
          <w:i w:val="false"/>
          <w:iCs w:val="false"/>
          <w:sz w:val="24"/>
          <w:szCs w:val="24"/>
        </w:rPr>
        <w:t xml:space="preserve">Routine monitoring visits (PWS 5.1.2): one to four days, at the frequency SMART leadership determines from accrual, enrollment, protocol complexity and risk, site record-keeping proficiency, and prior corrective actions. [OFFEROR] staffs to the Government's stated expectation of hiring the appropriate number of monitors to meet the visit demand.</w:t>
      </w:r>
    </w:p>
    <w:p>
      <w:pPr>
        <w:spacing w:after="160"/>
        <w:jc w:val="left"/>
      </w:pPr>
      <w:r>
        <w:rPr>
          <w:rFonts w:ascii="Times New Roman" w:cs="Times New Roman" w:eastAsia="Times New Roman" w:hAnsi="Times New Roman"/>
          <w:b w:val="false"/>
          <w:bCs w:val="false"/>
          <w:i w:val="false"/>
          <w:iCs w:val="false"/>
          <w:sz w:val="24"/>
          <w:szCs w:val="24"/>
        </w:rPr>
        <w:t xml:space="preserve">Visit preparation (PWS 5.1.3): after Lead approval, the monitor coordinates dates directly with the site coordinator and investigator, develops the tentative agenda, identifies documents for review, requests the site announcement letter through the SMART PM email group using the provided template, and assembles all working materials — correspondence, prior monitoring documents, and the study's integrated monitoring plan — before travel.</w:t>
      </w:r>
    </w:p>
    <w:p>
      <w:pPr>
        <w:spacing w:after="160"/>
        <w:jc w:val="left"/>
      </w:pPr>
      <w:r>
        <w:rPr>
          <w:rFonts w:ascii="Times New Roman" w:cs="Times New Roman" w:eastAsia="Times New Roman" w:hAnsi="Times New Roman"/>
          <w:b w:val="false"/>
          <w:bCs w:val="false"/>
          <w:i w:val="false"/>
          <w:iCs w:val="false"/>
          <w:sz w:val="24"/>
          <w:szCs w:val="24"/>
        </w:rPr>
        <w:t xml:space="preserve">Visit conduct (PWS 5.1.4): the monitor reviews subject and investigator records for GCP and VA/CSP policy compliance; checks protocol compliance; reviews the Essential Documents Binder; conducts informed consent and HIPAA review; verifies CRF data against source documents; reviews source documents and the electronic medical record for AEs, SAEs, and unidentified SAEs; checks CRF accuracy, legibility, and submission to the Data Coordinating Center; complies with VA privacy and data security policy throughout; provides immediate feedback to the CSP Director and SMART leadership of significant or serious noncompliance upon discovery, while still on site; delivers GCP guidance, training, and re-education as needed; determines follow-up actions; conducts the exit interview; and assists with CAPA development and implementation.</w:t>
      </w:r>
    </w:p>
    <w:p>
      <w:pPr>
        <w:spacing w:after="160"/>
        <w:jc w:val="left"/>
      </w:pPr>
      <w:r>
        <w:rPr>
          <w:rFonts w:ascii="Times New Roman" w:cs="Times New Roman" w:eastAsia="Times New Roman" w:hAnsi="Times New Roman"/>
          <w:b w:val="false"/>
          <w:bCs w:val="false"/>
          <w:i w:val="false"/>
          <w:iCs w:val="false"/>
          <w:sz w:val="24"/>
          <w:szCs w:val="24"/>
        </w:rPr>
        <w:t xml:space="preserve">Reports and summary letters (PWS 5.1.5): using Government-provided templates, the monitor completes the site visit report, Summary for Investigator, attachments, and supporting documents, and posts them to the SMART SharePoint site (or as directed) within seven business days of the last day on site. All QA visit logs and scanned documents go to SMART and the Study Lead Monitor. Reports are grammatically correct, accurate, and audit-ready; the monitor follows up with the study lead monitor until report approval and distribution, and rework is at no cost to the Government.</w:t>
      </w:r>
    </w:p>
    <w:p>
      <w:pPr>
        <w:spacing w:after="120" w:before="240"/>
      </w:pPr>
      <w:r>
        <w:rPr>
          <w:rFonts w:ascii="Times New Roman" w:cs="Times New Roman" w:eastAsia="Times New Roman" w:hAnsi="Times New Roman"/>
          <w:b/>
          <w:bCs/>
          <w:sz w:val="24"/>
          <w:szCs w:val="24"/>
        </w:rPr>
        <w:t xml:space="preserve">4. Task 2 — CRQA Visits without Pre- and Post-Work (PWS 5.2; CLIN x001)</w:t>
      </w:r>
    </w:p>
    <w:p>
      <w:pPr>
        <w:spacing w:after="160"/>
        <w:jc w:val="left"/>
      </w:pPr>
      <w:r>
        <w:rPr>
          <w:rFonts w:ascii="Times New Roman" w:cs="Times New Roman" w:eastAsia="Times New Roman" w:hAnsi="Times New Roman"/>
          <w:b w:val="false"/>
          <w:bCs w:val="false"/>
          <w:i w:val="false"/>
          <w:iCs w:val="false"/>
          <w:sz w:val="24"/>
          <w:szCs w:val="24"/>
        </w:rPr>
        <w:t xml:space="preserve">Support visits (PWS 5.2.1): at the request of the Lead CRQA or SMART leadership, the offeror's monitors support another CRQA's site visits — second-monitor support or new-monitor training — performing on-site actions and travel without responsibility for pre- or post-work. Meeting support (PWS 5.2.2): monitors attend or present at study kickoff, annual, and program meetings, and attend in-house or virtual training, at SMART's direction. Each such engagement is invoiced per the CLIN block structure: on-site days and travel legs only.</w:t>
      </w:r>
    </w:p>
    <w:p>
      <w:pPr>
        <w:spacing w:after="120" w:before="240"/>
      </w:pPr>
      <w:r>
        <w:rPr>
          <w:rFonts w:ascii="Times New Roman" w:cs="Times New Roman" w:eastAsia="Times New Roman" w:hAnsi="Times New Roman"/>
          <w:b/>
          <w:bCs/>
          <w:sz w:val="24"/>
          <w:szCs w:val="24"/>
        </w:rPr>
        <w:t xml:space="preserve">5. Task 3 — GCP Program Quality Support (PWS 5.3; CLIN x002, hourly, no travel)</w:t>
      </w:r>
    </w:p>
    <w:p>
      <w:pPr>
        <w:spacing w:after="160"/>
        <w:jc w:val="left"/>
      </w:pPr>
      <w:r>
        <w:rPr>
          <w:rFonts w:ascii="Times New Roman" w:cs="Times New Roman" w:eastAsia="Times New Roman" w:hAnsi="Times New Roman"/>
          <w:b w:val="false"/>
          <w:bCs w:val="false"/>
          <w:i w:val="false"/>
          <w:iCs w:val="false"/>
          <w:sz w:val="24"/>
          <w:szCs w:val="24"/>
        </w:rPr>
        <w:t xml:space="preserve">PQS work is performed remotely on an hourly basis at SMART's direction: creating study-specific site visit tools (5.3.1); developing GCP tools for participating sites (5.3.2); designing casebook-derived data organization for patient files (5.3.3); developing source-documentation requirements and guidance for key study data (5.3.4); off-site records review of key critical data in support of risk-based integrated monitoring — informed consent and HIPAA review, EHR eligibility and compliance review, EDC/CRF review, endpoint and safety data review, and follow-up determination (5.3.5); study orientation (5.3.6); and completion of all VA, CSP, and SMART-required training (5.3.7).</w:t>
      </w:r>
    </w:p>
    <w:p>
      <w:pPr>
        <w:spacing w:after="160"/>
        <w:jc w:val="left"/>
      </w:pPr>
      <w:r>
        <w:rPr>
          <w:rFonts w:ascii="Times New Roman" w:cs="Times New Roman" w:eastAsia="Times New Roman" w:hAnsi="Times New Roman"/>
          <w:b w:val="false"/>
          <w:bCs w:val="false"/>
          <w:i w:val="false"/>
          <w:iCs w:val="false"/>
          <w:sz w:val="24"/>
          <w:szCs w:val="24"/>
        </w:rPr>
        <w:t xml:space="preserve">Sponsor's Designated Representative duties (PWS 5.3.8): where assigned, the SDR finalizes and approves reports before distribution, completes the SDR form, requests follow-up letters through the SMART PM group, evaluates investigator corrective action responses for acceptability and completeness — revising at no cost to the Government until accurate — consults with the CSP Coordinating Center PM or QA Nurse Specialist as needed, directs monitor follow-up to verify site action items, and documents resolution and closeout of each visit.</w:t>
      </w:r>
    </w:p>
    <w:p>
      <w:pPr>
        <w:spacing w:after="120" w:before="240"/>
      </w:pPr>
      <w:r>
        <w:rPr>
          <w:rFonts w:ascii="Times New Roman" w:cs="Times New Roman" w:eastAsia="Times New Roman" w:hAnsi="Times New Roman"/>
          <w:b/>
          <w:bCs/>
          <w:sz w:val="24"/>
          <w:szCs w:val="24"/>
        </w:rPr>
        <w:t xml:space="preserve">6. Deliverables and Timeliness (PWS 5.4)</w:t>
      </w:r>
    </w:p>
    <w:p>
      <w:pPr>
        <w:pStyle w:val="ListParagraph"/>
        <w:numPr>
          <w:ilvl w:val="0"/>
          <w:numId w:val="1"/>
        </w:numPr>
        <w:spacing w:after="80"/>
      </w:pPr>
      <w:r>
        <w:rPr>
          <w:rFonts w:ascii="Times New Roman" w:cs="Times New Roman" w:eastAsia="Times New Roman" w:hAnsi="Times New Roman"/>
          <w:sz w:val="24"/>
          <w:szCs w:val="24"/>
        </w:rPr>
        <w:t xml:space="preserve">Site visit report, Summary for Investigator, attachments, supporting documents: within seven business days of the last day on site, to the SMART PM group via SharePoint, using Government templates.</w:t>
      </w:r>
    </w:p>
    <w:p>
      <w:pPr>
        <w:pStyle w:val="ListParagraph"/>
        <w:numPr>
          <w:ilvl w:val="0"/>
          <w:numId w:val="1"/>
        </w:numPr>
        <w:spacing w:after="80"/>
      </w:pPr>
      <w:r>
        <w:rPr>
          <w:rFonts w:ascii="Times New Roman" w:cs="Times New Roman" w:eastAsia="Times New Roman" w:hAnsi="Times New Roman"/>
          <w:sz w:val="24"/>
          <w:szCs w:val="24"/>
        </w:rPr>
        <w:t xml:space="preserve">Serious or significant noncompliance: immediate notification to SMART leadership upon discovery, while still on site.</w:t>
      </w:r>
    </w:p>
    <w:p>
      <w:pPr>
        <w:pStyle w:val="ListParagraph"/>
        <w:numPr>
          <w:ilvl w:val="0"/>
          <w:numId w:val="1"/>
        </w:numPr>
        <w:spacing w:after="80"/>
      </w:pPr>
      <w:r>
        <w:rPr>
          <w:rFonts w:ascii="Times New Roman" w:cs="Times New Roman" w:eastAsia="Times New Roman" w:hAnsi="Times New Roman"/>
          <w:sz w:val="24"/>
          <w:szCs w:val="24"/>
        </w:rPr>
        <w:t xml:space="preserve">QA visit logs and scanned site documents: delivered with the report package to SMART and the Study Lead Monitor.</w:t>
      </w:r>
    </w:p>
    <w:p>
      <w:pPr>
        <w:pStyle w:val="ListParagraph"/>
        <w:numPr>
          <w:ilvl w:val="0"/>
          <w:numId w:val="1"/>
        </w:numPr>
        <w:spacing w:after="80"/>
      </w:pPr>
      <w:r>
        <w:rPr>
          <w:rFonts w:ascii="Times New Roman" w:cs="Times New Roman" w:eastAsia="Times New Roman" w:hAnsi="Times New Roman"/>
          <w:sz w:val="24"/>
          <w:szCs w:val="24"/>
        </w:rPr>
        <w:t xml:space="preserve">Monitor identification with full PWS 7.3 documentation: within 30 days of task-order notification.</w:t>
      </w:r>
    </w:p>
    <w:p>
      <w:pPr>
        <w:pStyle w:val="ListParagraph"/>
        <w:numPr>
          <w:ilvl w:val="0"/>
          <w:numId w:val="1"/>
        </w:numPr>
        <w:spacing w:after="80"/>
      </w:pPr>
      <w:r>
        <w:rPr>
          <w:rFonts w:ascii="Times New Roman" w:cs="Times New Roman" w:eastAsia="Times New Roman" w:hAnsi="Times New Roman"/>
          <w:sz w:val="24"/>
          <w:szCs w:val="24"/>
        </w:rPr>
        <w:t xml:space="preserve">Internal tracking: every deliverable is logged with its due date at visit scheduling; the deliverable tracker is reviewed twice weekly and any at-risk date is escalated to the Government before it is missed.</w:t>
      </w:r>
    </w:p>
    <w:p>
      <w:pPr>
        <w:spacing w:after="120" w:before="240"/>
      </w:pPr>
      <w:r>
        <w:rPr>
          <w:rFonts w:ascii="Times New Roman" w:cs="Times New Roman" w:eastAsia="Times New Roman" w:hAnsi="Times New Roman"/>
          <w:b/>
          <w:bCs/>
          <w:sz w:val="24"/>
          <w:szCs w:val="24"/>
        </w:rPr>
        <w:t xml:space="preserve">7. Qualifications and Experience (PWS 7.0)</w:t>
      </w:r>
    </w:p>
    <w:p>
      <w:pPr>
        <w:spacing w:after="160"/>
        <w:jc w:val="left"/>
      </w:pPr>
      <w:r>
        <w:rPr>
          <w:rFonts w:ascii="Times New Roman" w:cs="Times New Roman" w:eastAsia="Times New Roman" w:hAnsi="Times New Roman"/>
          <w:b w:val="false"/>
          <w:bCs w:val="false"/>
          <w:i w:val="false"/>
          <w:iCs w:val="false"/>
          <w:sz w:val="24"/>
          <w:szCs w:val="24"/>
        </w:rPr>
        <w:t xml:space="preserve">Named CRQA monitor(s) — [MONITOR NAME(S) — redacted]: each proposed monitor meets every element of PWS 7.3 with enclosed documentation — current CV (7.3.1); qualifying degree, licensure, or ACRP CCRA certification (7.3.2); documented GCP training from a nationally recognized provider (7.3.3); documented monitoring and human subjects protection training or CCRA certification (7.3.4); more than ten years of GCP clinical-trial monitoring of clinical research sites, documented trial-by-trial in the CV (7.3.5); and more than five years delivering GCP monitoring or auditing services for federally funded research, with the sponsor-by-sponsor listing of trials, site counts, visit frequency, and durations required by 7.3.6.1 [MONITOR'S FEDERAL TRIAL LISTING]. Medical record and chart review experience, including the specific EHR systems and access tools used (7.3.7), and Microsoft Office and Adobe proficiency demonstrated by example (7.3.8) are documented in each CV.</w:t>
      </w:r>
    </w:p>
    <w:p>
      <w:pPr>
        <w:spacing w:after="160"/>
        <w:jc w:val="left"/>
      </w:pPr>
      <w:r>
        <w:rPr>
          <w:rFonts w:ascii="Times New Roman" w:cs="Times New Roman" w:eastAsia="Times New Roman" w:hAnsi="Times New Roman"/>
          <w:b w:val="false"/>
          <w:bCs w:val="false"/>
          <w:i w:val="false"/>
          <w:iCs w:val="false"/>
          <w:sz w:val="24"/>
          <w:szCs w:val="24"/>
        </w:rPr>
        <w:t xml:space="preserve">Program management: the proposed Lead CRQA provides the single point of accountability for scheduling, credential currency, deliverable timeliness, and escalation — ACRP-certified, with documented GCP and human subjects protection training and extensive site-side GCP clinical research operations experience across multi-site federal (NIH) and industry protocols, including direct response to sponsor monitors' findings and data queries: deep familiarity with the monitored side of every item in a CRQA monitoring plan. Monitoring visits, findings, and reports are performed and owned exclusively by the named PWS 7.3-qualified monitors.</w:t>
      </w:r>
    </w:p>
    <w:p>
      <w:pPr>
        <w:spacing w:after="160"/>
        <w:jc w:val="left"/>
      </w:pPr>
      <w:r>
        <w:rPr>
          <w:rFonts w:ascii="Times New Roman" w:cs="Times New Roman" w:eastAsia="Times New Roman" w:hAnsi="Times New Roman"/>
          <w:b w:val="false"/>
          <w:bCs w:val="false"/>
          <w:i w:val="false"/>
          <w:iCs w:val="false"/>
          <w:sz w:val="24"/>
          <w:szCs w:val="24"/>
        </w:rPr>
        <w:t xml:space="preserve">Supporting documentation for every element above — CVs, degree and certification copies, GCP/HSP/monitoring training certificates, and the federal trial listings — is enclosed as Section 2 Qualification Support Docs, excluded from this section's page count. Full copies are provided; no links.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2026-08-18T19:43:13.751Z</dcterms:created>
  <dcterms:modified xsi:type="dcterms:W3CDTF">2026-08-18T19:43:13.751Z</dcterms:modified>
</cp:coreProperties>
</file>

<file path=docProps/custom.xml><?xml version="1.0" encoding="utf-8"?>
<Properties xmlns="http://schemas.openxmlformats.org/officeDocument/2006/custom-properties" xmlns:vt="http://schemas.openxmlformats.org/officeDocument/2006/docPropsVTypes"/>
</file>