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Andrew O'Donnell</w:t>
      </w:r>
    </w:p>
    <w:p>
      <w:pPr>
        <w:spacing w:after="80"/>
        <w:jc w:val="center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Los Angeles, CA | aodhan.o@outlook.com | 650.213.2381 | linkedin.com/in/andrewdavidodonnell/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CLINICAL RESEARCH COORDINATOR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Clinical Research Coordinator with 8+ years of experience across Stanford University School of Medicine, the U.S. Air Force, and a Level I trauma center. Coordinated concurrent NIH and industry clinical trials (Phase II-IV) for 1,500+ participants, with direct experience in informed consent, eligibility screening, study visits, safety reporting with CTCAE grading, and EDC data management under ICH GCP and 21 CFR. Licensed CPT-I phlebotomist with DOT specimen shipping certification and bedside emergency department experience caring for pediatric hematology and oncology patients. ACRP-Certified Project Manager and Certified Professional.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COMPETENCIES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Informed Consent &amp; eConsent | Eligibility Screening &amp; Enrollment | Patient Recruitment &amp; Retention | Study Visit Coordination (Onsite &amp; Decentralized) | AE/SAE Reporting &amp; CTCAE Grading | Pediatric Hematology/Oncology Patient Care | Sterile Technique &amp; Port Access Preparation | Phlebotomy (CPT-I Licensed) | DOT-Certified Specimen Shipping | Investigational Product Shipments | Protocol Compliance (ICH GCP, 21 CFR, HIPAA) | EDC &amp; Data Quality | Sponsor &amp; CRO Relations | Staff Training &amp; Preceptorship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Clinical Systems: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CTMS - OnCore, Oracle Siebel | EDC - Medidata Rave, REDCap | eTMF | eConsent | ePRO/eCOA | Epic | IRT | Cerner | Safety Reporting - AE/SAE, CTCAE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Analytics: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SAS | SPSS | R | Python | Excel (Advanced Functions) | Smartsheet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Collaboration Tools: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Microsoft Office Suite | Teams | Zoom | Slack | Adobe Acrobat Sign | SharePoint | Box | DocuSign | Jira | Confluence | Google Workspace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EXPERIENCE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Clinical Research Coordinator Associate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Stanford University Department of Medicine, Palo Alto, CA | Nov 2021 ‑ Feb 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Executed clinical operations for 1,500+ participants across concurrent NIH and industry trials (Phase II-IV) in infectious disease, post-acute sequelae of SARS-CoV-2, and chronic diseases; led recruitment and enrollment operations with the site consistently ranked among the top enrollment sites nationally.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Conducted patient-facing study visits onsite and through decentralized workflows, including eConsent, telehealth check-ins, ePRO, and home investigational product shipments, ensuring protocol adherence and participant engagement.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protocol compliance and safety documentation, including AE/SAE reporting with CTCAE grading, partnering with sponsors, CROs, and PIs to sustain audit readiness under ICH GCP and 21 CFR.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Served as Honest Broker for Gilead GS-US-685-6819, ensuring HIPAA-compliant consent and data handling in direct collaboration with trial leadership; involved in budgeting, billing, and feasibility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Optimized REDCap/OnCore databases with validation rules, queries, and dashboards, achieving 90%+ on-time query resolution.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Trained and onboarded incoming clinical research coordinators on protocol workflows, eConsent, ePRO, and REDCap/OnCore data entry; developed study-specific training materials and acted as the escalation point for study procedures.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Operations Manager (Contract)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International SOS (Iqarus), Fort Lee, VA | Aug 2021 ‑ Sep 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biomedical operations at the first U.S. haven site for Operation Allies Welcome, supporting medical intake and care for 25K+ evacuees from Afghanistan.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Designed and implemented high-throughput COVID-19 testing and vaccination protocols that cut average processing time per patient from 30 to approximately 18 minutes (40% faster), and trained staff and interagency partners on the resulting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Collaborated with Army Public Health and interagency partners to ensure rapid benefit enrollment, offsite medical referrals, and 100% compliance with CDC vaccination and screening requirements.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Emergency Department Technician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RCET | Children's Hospital of Orange County, Santa Ana, CA | Jan 2018 ‑ Oct 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Delivered frontline care in a top-ranked Level I pediatric trauma center, assisting in triage, stabilization, and 20K+ annual emergency encounters.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Provided bedside care for pediatric hematology and oncology patients, including fever and neutropenia presentations and oncology code events; prepared sterile fields and supplies for implanted port access.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Assisted in code events, including intubation, resuscitation, medication preparation, and patient transport, as an extension of physicians and nurses.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Precepted and trained new emergency department technicians on triage support, trauma bay setup, and respiratory equipment operation.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Sustained reliability of respiratory care equipment (CPAP, BiPAP, ventilators, high-flow O2) through proactive maintenance and troubleshooting.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Healthcare Technology Manager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4A2x5 | U.S. Air Force, Various Locations | Sep 2017 ‑ Sep 2025, ADT ‑ Reserve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98%+ preventive-maintenance compliance across 200+ biomedical devices valued at $2M+, ensuring Joint Commission and DoD accreditation readiness.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HTM for the 752nd Medical Squadron during Global Medic 2019, supervising 6 biomedical personnel in a multinational mass-casualty exercise.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Supervised and trained airmen in biomedical equipment maintenance and safe equipment use, achieving zero equipment-related incidents.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LICENSES AND 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Association of Clinical Research Professionals - Project Manager (ACRP-PM), Certified Professional (ACRP-CP)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CPT I Phlebotomy Registry No. CPT 02270029 | NREMT Registry No. E3767060 | American Heart Association BLS, ACLS, PALS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CITI Good Clinical Practice (GCP) | HIPAA | Aerosol Transmissible Diseases | DOT Shipping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Pre-Hospital Trauma Life Support (PHTLS) | Tactical Combat Casualty Care Level II (TCCC)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AAMI Certified Biomedical Equipment Technician (CBET)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Stanford Online AI in Healthcare | Google Advanced Data Analytics | Interprofessional Healthcare Informatics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2023. Higher-dose fluvoxamine and time to sustained recovery in outpatients with COVID-19: The ACTIV-6 randomized clinical trial. ClinicalTrials.gov: NCT04885530.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2024. Nirmatrelvir-ritonavir and symptoms in adults with post-acute sequelae of SARS-CoV-2 infection: The STOP-PASC randomized clinical trial. ClinicalTrials.gov: NCT05576662.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Network Open. 2024. Effect of montelukast versus placebo on time to sustained recovery in outpatients with COVID-19: The ACTIV-6 randomized clinical trial. ClinicalTrials.gov: NCT04885530.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Internal Medicine. 2025. Metformin and time to sustained recovery in adults with COVID-19: The ACTIV-6 randomized clinical trial. ClinicalTrials.gov: NCT04885530.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MA, International Studies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Chapman University, Orange,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Graduate Fellowship Award (2x) | Sigma Iota Rho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BA, Classics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California State University Long Beach, Long Beach,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Eta Sigma Phi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Certificate in Pre-Medicine and General Sciences with Distinction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| UCLA Extension, Los Angeles, CA</w:t>
      </w:r>
    </w:p>
    <w:sectPr>
      <w:pgSz w:w="12240" w:h="15840" w:orient="portrait"/>
      <w:pgMar w:top="863" w:right="1008" w:bottom="863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2026-07-29T05:54:46.371Z</dcterms:created>
  <dcterms:modified xsi:type="dcterms:W3CDTF">2026-07-29T05:54:46.371Z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