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including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keepNext/>
        <w:pBdr>
          <w:bottom w:val="single" w:color="444444" w:sz="6"/>
        </w:pBdr>
        <w:spacing w:after="80" w:before="200"/>
      </w:pPr>
      <w:r>
        <w:rPr>
          <w:rFonts w:ascii="Calibri" w:cs="Calibri" w:eastAsia="Calibri" w:hAnsi="Calibri"/>
          <w:b/>
          <w:bCs/>
          <w:sz w:val="22"/>
          <w:szCs w:val="22"/>
        </w:rPr>
        <w:t xml:space="preserve">CORE COMPETENCIES</w:t>
      </w:r>
    </w:p>
    <w:p>
      <w:pPr>
        <w:spacing w:after="4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keepNext/>
        <w:pBdr>
          <w:bottom w:val="single" w:color="444444" w:sz="6"/>
        </w:pBdr>
        <w:spacing w:after="80" w:before="200"/>
      </w:pPr>
      <w:r>
        <w:rPr>
          <w:rFonts w:ascii="Calibri" w:cs="Calibri" w:eastAsia="Calibri" w:hAnsi="Calibri"/>
          <w:b/>
          <w:bCs/>
          <w:sz w:val="22"/>
          <w:szCs w:val="22"/>
        </w:rPr>
        <w:t xml:space="preserve">TECHNICAL SKILLS</w:t>
      </w:r>
    </w:p>
    <w:p>
      <w:pPr>
        <w:spacing w:after="40"/>
      </w:pPr>
      <w:r>
        <w:rPr>
          <w:rFonts w:ascii="Calibri" w:cs="Calibri" w:eastAsia="Calibri" w:hAnsi="Calibri"/>
          <w:b/>
          <w:bCs/>
          <w:sz w:val="21"/>
          <w:szCs w:val="21"/>
        </w:rPr>
        <w:t xml:space="preserve">Research Systems:</w:t>
      </w:r>
      <w:r>
        <w:rPr>
          <w:rFonts w:ascii="Calibri" w:cs="Calibri" w:eastAsia="Calibri" w:hAnsi="Calibri"/>
          <w:b w:val="false"/>
          <w:bCs w:val="false"/>
          <w:sz w:val="21"/>
          <w:szCs w:val="21"/>
        </w:rPr>
        <w:t xml:space="preserve"> CTMS - OnCore, Oracle Siebel | EDC - Medidata Rave, REDCap | eTMF | eConsent | ePRO/eCOA | Epic | IRT | Cerner | Safety Reporting - AE/SAE, CTCAE</w:t>
      </w:r>
    </w:p>
    <w:p>
      <w:pPr>
        <w:spacing w:after="40"/>
      </w:pPr>
      <w:r>
        <w:rPr>
          <w:rFonts w:ascii="Calibri" w:cs="Calibri" w:eastAsia="Calibri" w:hAnsi="Calibri"/>
          <w:b/>
          <w:bCs/>
          <w:sz w:val="21"/>
          <w:szCs w:val="21"/>
        </w:rPr>
        <w:t xml:space="preserve">Analytics &amp; Reporting:</w:t>
      </w:r>
      <w:r>
        <w:rPr>
          <w:rFonts w:ascii="Calibri" w:cs="Calibri" w:eastAsia="Calibri" w:hAnsi="Calibri"/>
          <w:b w:val="false"/>
          <w:bCs w:val="false"/>
          <w:sz w:val="21"/>
          <w:szCs w:val="21"/>
        </w:rPr>
        <w:t xml:space="preserve"> Excel (Advanced Functions) | SAS | SPSS | R | Python | Smartsheet</w:t>
      </w:r>
    </w:p>
    <w:p>
      <w:pPr>
        <w:spacing w:after="40"/>
      </w:pPr>
      <w:r>
        <w:rPr>
          <w:rFonts w:ascii="Calibri" w:cs="Calibri" w:eastAsia="Calibri" w:hAnsi="Calibri"/>
          <w:b/>
          <w:bCs/>
          <w:sz w:val="21"/>
          <w:szCs w:val="21"/>
        </w:rPr>
        <w:t xml:space="preserve">Collaboration:</w:t>
      </w:r>
      <w:r>
        <w:rPr>
          <w:rFonts w:ascii="Calibri" w:cs="Calibri" w:eastAsia="Calibri" w:hAnsi="Calibri"/>
          <w:b w:val="false"/>
          <w:bCs w:val="false"/>
          <w:sz w:val="21"/>
          <w:szCs w:val="21"/>
        </w:rPr>
        <w:t xml:space="preserve"> Microsoft Office Suite | Teams | Zoom | Slack | Adobe Acrobat Sign | SharePoint | Box | DocuSign | Jira | Confluence | Google Workspace</w:t>
      </w:r>
    </w:p>
    <w:p>
      <w:pPr>
        <w:keepNext/>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21"/>
          <w:szCs w:val="21"/>
        </w:rPr>
        <w:t xml:space="preserve">Clinical Research Coordinator Associate</w:t>
      </w:r>
      <w:r>
        <w:rPr>
          <w:rFonts w:ascii="Calibri" w:cs="Calibri" w:eastAsia="Calibri" w:hAnsi="Calibri"/>
          <w:b w:val="false"/>
          <w:bCs w:val="false"/>
          <w:sz w:val="21"/>
          <w:szCs w:val="21"/>
        </w:rPr>
        <w:t xml:space="preserve"> | Stanford University Department of Medicine, Palo Alto, CA | Nov 2021 ‑ Feb 2026</w:t>
      </w:r>
    </w:p>
    <w:p>
      <w:pPr>
        <w:pStyle w:val="ListParagraph"/>
        <w:numPr>
          <w:ilvl w:val="0"/>
          <w:numId w:val="2"/>
        </w:numPr>
        <w:spacing w:after="30"/>
      </w:pPr>
      <w:r>
        <w:rPr>
          <w:rFonts w:ascii="Calibri" w:cs="Calibri" w:eastAsia="Calibri" w:hAnsi="Calibri"/>
          <w:b w:val="false"/>
          <w:bCs w:val="false"/>
          <w:sz w:val="21"/>
          <w:szCs w:val="21"/>
        </w:rPr>
        <w:t xml:space="preserve">Acted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numPr>
          <w:ilvl w:val="0"/>
          <w:numId w:val="2"/>
        </w:numPr>
        <w:spacing w:after="30"/>
      </w:pPr>
      <w:r>
        <w:rPr>
          <w:rFonts w:ascii="Calibri" w:cs="Calibri" w:eastAsia="Calibri" w:hAnsi="Calibri"/>
          <w:b w:val="false"/>
          <w:bCs w:val="false"/>
          <w:sz w:val="21"/>
          <w:szCs w:val="21"/>
        </w:rPr>
        <w:t xml:space="preserve">Supported budgeting, billing, and feasibility management for funded studies, applying university, hospital, and sponsor requirements to financial and operational decisions.</w:t>
      </w:r>
    </w:p>
    <w:p>
      <w:pPr>
        <w:pStyle w:val="ListParagraph"/>
        <w:numPr>
          <w:ilvl w:val="0"/>
          <w:numId w:val="2"/>
        </w:numPr>
        <w:spacing w:after="30"/>
      </w:pPr>
      <w:r>
        <w:rPr>
          <w:rFonts w:ascii="Calibri" w:cs="Calibri" w:eastAsia="Calibri" w:hAnsi="Calibri"/>
          <w:b w:val="false"/>
          <w:bCs w:val="false"/>
          <w:sz w:val="21"/>
          <w:szCs w:val="21"/>
        </w:rPr>
        <w:t xml:space="preserve">Interpreted and explained protocol, institutional, and sponsor requirements to study teams and was the escalation point for study procedures and documentation standards.</w:t>
      </w:r>
    </w:p>
    <w:p>
      <w:pPr>
        <w:pStyle w:val="ListParagraph"/>
        <w:numPr>
          <w:ilvl w:val="0"/>
          <w:numId w:val="2"/>
        </w:numPr>
        <w:spacing w:after="30"/>
      </w:pPr>
      <w:r>
        <w:rPr>
          <w:rFonts w:ascii="Calibri" w:cs="Calibri" w:eastAsia="Calibri" w:hAnsi="Calibri"/>
          <w:b w:val="false"/>
          <w:bCs w:val="false"/>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numPr>
          <w:ilvl w:val="0"/>
          <w:numId w:val="2"/>
        </w:numPr>
        <w:spacing w:after="30"/>
      </w:pPr>
      <w:r>
        <w:rPr>
          <w:rFonts w:ascii="Calibri" w:cs="Calibri" w:eastAsia="Calibri" w:hAnsi="Calibri"/>
          <w:b w:val="false"/>
          <w:bCs w:val="false"/>
          <w:sz w:val="21"/>
          <w:szCs w:val="21"/>
        </w:rPr>
        <w:t xml:space="preserve">Served as day-to-day lead supervising junior staff members.</w:t>
      </w:r>
    </w:p>
    <w:p>
      <w:pPr>
        <w:pStyle w:val="ListParagraph"/>
        <w:numPr>
          <w:ilvl w:val="0"/>
          <w:numId w:val="2"/>
        </w:numPr>
        <w:spacing w:after="30"/>
      </w:pPr>
      <w:r>
        <w:rPr>
          <w:rFonts w:ascii="Calibri" w:cs="Calibri" w:eastAsia="Calibri" w:hAnsi="Calibri"/>
          <w:b w:val="false"/>
          <w:bCs w:val="false"/>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21"/>
          <w:szCs w:val="21"/>
        </w:rPr>
        <w:t xml:space="preserve">Technical Operations Manager (Contract)</w:t>
      </w:r>
      <w:r>
        <w:rPr>
          <w:rFonts w:ascii="Calibri" w:cs="Calibri" w:eastAsia="Calibri" w:hAnsi="Calibri"/>
          <w:b w:val="false"/>
          <w:bCs w:val="false"/>
          <w:sz w:val="21"/>
          <w:szCs w:val="21"/>
        </w:rPr>
        <w:t xml:space="preserve"> | International SOS (Iqarus), Fort Lee, VA | Aug 2021 ‑ Sep 2021</w:t>
      </w:r>
    </w:p>
    <w:p>
      <w:pPr>
        <w:pStyle w:val="ListParagraph"/>
        <w:numPr>
          <w:ilvl w:val="0"/>
          <w:numId w:val="2"/>
        </w:numPr>
        <w:spacing w:after="30"/>
      </w:pPr>
      <w:r>
        <w:rPr>
          <w:rFonts w:ascii="Calibri" w:cs="Calibri" w:eastAsia="Calibri" w:hAnsi="Calibri"/>
          <w:b w:val="false"/>
          <w:bCs w:val="false"/>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numPr>
          <w:ilvl w:val="0"/>
          <w:numId w:val="2"/>
        </w:numPr>
        <w:spacing w:after="30"/>
      </w:pPr>
      <w:r>
        <w:rPr>
          <w:rFonts w:ascii="Calibri" w:cs="Calibri" w:eastAsia="Calibri" w:hAnsi="Calibri"/>
          <w:b w:val="false"/>
          <w:bCs w:val="false"/>
          <w:sz w:val="21"/>
          <w:szCs w:val="21"/>
        </w:rPr>
        <w:t xml:space="preserve">Redesigned high-throughput COVID-19 testing and vaccination workflows, cutting average processing time per patient from 30 to approximately 18 minutes (40% faster), and trained staff and interagency partners on the new workflows.</w:t>
      </w:r>
    </w:p>
    <w:p>
      <w:pPr>
        <w:pStyle w:val="ListParagraph"/>
        <w:numPr>
          <w:ilvl w:val="0"/>
          <w:numId w:val="2"/>
        </w:numPr>
        <w:spacing w:after="30"/>
      </w:pPr>
      <w:r>
        <w:rPr>
          <w:rFonts w:ascii="Calibri" w:cs="Calibri" w:eastAsia="Calibri" w:hAnsi="Calibri"/>
          <w:b w:val="false"/>
          <w:bCs w:val="false"/>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21"/>
          <w:szCs w:val="21"/>
        </w:rPr>
        <w:t xml:space="preserve">Healthcare Technology Manager</w:t>
      </w:r>
      <w:r>
        <w:rPr>
          <w:rFonts w:ascii="Calibri" w:cs="Calibri" w:eastAsia="Calibri" w:hAnsi="Calibri"/>
          <w:b w:val="false"/>
          <w:bCs w:val="false"/>
          <w:sz w:val="21"/>
          <w:szCs w:val="21"/>
        </w:rPr>
        <w:t xml:space="preserve"> | 4A2x5 | U.S. Air Force, Various Locations | Sep 2017 ‑ Sep 2025, ADT ‑ Reserve</w:t>
      </w:r>
    </w:p>
    <w:p>
      <w:pPr>
        <w:pStyle w:val="ListParagraph"/>
        <w:numPr>
          <w:ilvl w:val="0"/>
          <w:numId w:val="2"/>
        </w:numPr>
        <w:spacing w:after="30"/>
      </w:pPr>
      <w:r>
        <w:rPr>
          <w:rFonts w:ascii="Calibri" w:cs="Calibri" w:eastAsia="Calibri" w:hAnsi="Calibri"/>
          <w:b w:val="false"/>
          <w:bCs w:val="false"/>
          <w:sz w:val="21"/>
          <w:szCs w:val="21"/>
        </w:rPr>
        <w:t xml:space="preserve">Maintained 98%+ preventive-maintenance compliance across 200+ biomedical devices valued at $2M+, sustaining Joint Commission and DoD accreditation readiness.</w:t>
      </w:r>
    </w:p>
    <w:p>
      <w:pPr>
        <w:pStyle w:val="ListParagraph"/>
        <w:numPr>
          <w:ilvl w:val="0"/>
          <w:numId w:val="2"/>
        </w:numPr>
        <w:spacing w:after="30"/>
      </w:pPr>
      <w:r>
        <w:rPr>
          <w:rFonts w:ascii="Calibri" w:cs="Calibri" w:eastAsia="Calibri" w:hAnsi="Calibri"/>
          <w:b w:val="false"/>
          <w:bCs w:val="false"/>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numPr>
          <w:ilvl w:val="0"/>
          <w:numId w:val="2"/>
        </w:numPr>
        <w:spacing w:after="30"/>
      </w:pPr>
      <w:r>
        <w:rPr>
          <w:rFonts w:ascii="Calibri" w:cs="Calibri" w:eastAsia="Calibri" w:hAnsi="Calibri"/>
          <w:b w:val="false"/>
          <w:bCs w:val="false"/>
          <w:sz w:val="21"/>
          <w:szCs w:val="21"/>
        </w:rPr>
        <w:t xml:space="preserve">Supervised and trained airmen in equipment maintenance and safety procedures, building cross-disciplinary teams and achieving zero equipment-related incidents.</w:t>
      </w:r>
    </w:p>
    <w:p>
      <w:pPr>
        <w:keepNext/>
        <w:spacing w:after="40" w:before="140"/>
      </w:pPr>
      <w:r>
        <w:rPr>
          <w:rFonts w:ascii="Calibri" w:cs="Calibri" w:eastAsia="Calibri" w:hAnsi="Calibri"/>
          <w:b/>
          <w:bCs/>
          <w:sz w:val="21"/>
          <w:szCs w:val="21"/>
        </w:rPr>
        <w:t xml:space="preserve">Emergency Department Technician</w:t>
      </w:r>
      <w:r>
        <w:rPr>
          <w:rFonts w:ascii="Calibri" w:cs="Calibri" w:eastAsia="Calibri" w:hAnsi="Calibri"/>
          <w:b w:val="false"/>
          <w:bCs w:val="false"/>
          <w:sz w:val="21"/>
          <w:szCs w:val="21"/>
        </w:rPr>
        <w:t xml:space="preserve"> | RCET | Children's Hospital of Orange County, Santa Ana, CA | Jan 2018 ‑ Oct 2021</w:t>
      </w:r>
    </w:p>
    <w:p>
      <w:pPr>
        <w:pStyle w:val="ListParagraph"/>
        <w:numPr>
          <w:ilvl w:val="0"/>
          <w:numId w:val="2"/>
        </w:numPr>
        <w:spacing w:after="30"/>
      </w:pPr>
      <w:r>
        <w:rPr>
          <w:rFonts w:ascii="Calibri" w:cs="Calibri" w:eastAsia="Calibri" w:hAnsi="Calibri"/>
          <w:b w:val="false"/>
          <w:bCs w:val="false"/>
          <w:sz w:val="21"/>
          <w:szCs w:val="21"/>
        </w:rPr>
        <w:t xml:space="preserve">Delivered frontline care in a top-ranked Level I pediatric trauma center across 20K+ annual emergency encounters; precepted and trained new emergency department technicians.</w:t>
      </w:r>
    </w:p>
    <w:p>
      <w:pPr>
        <w:keepNext/>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numPr>
          <w:ilvl w:val="0"/>
          <w:numId w:val="2"/>
        </w:numPr>
        <w:spacing w:after="30"/>
      </w:pPr>
      <w:r>
        <w:rPr>
          <w:rFonts w:ascii="Calibri" w:cs="Calibri" w:eastAsia="Calibri" w:hAnsi="Calibri"/>
          <w:b w:val="false"/>
          <w:bCs w:val="false"/>
          <w:sz w:val="21"/>
          <w:szCs w:val="21"/>
        </w:rPr>
        <w:t xml:space="preserve">Association of Clinical Research Professionals - Project Manager (ACRP-PM), Certified Professional (ACRP-CP)</w:t>
      </w:r>
    </w:p>
    <w:p>
      <w:pPr>
        <w:pStyle w:val="ListParagraph"/>
        <w:numPr>
          <w:ilvl w:val="0"/>
          <w:numId w:val="2"/>
        </w:numPr>
        <w:spacing w:after="30"/>
      </w:pPr>
      <w:r>
        <w:rPr>
          <w:rFonts w:ascii="Calibri" w:cs="Calibri" w:eastAsia="Calibri" w:hAnsi="Calibri"/>
          <w:b w:val="false"/>
          <w:bCs w:val="false"/>
          <w:sz w:val="21"/>
          <w:szCs w:val="21"/>
        </w:rPr>
        <w:t xml:space="preserve">CITI Good Clinical Practice (GCP) | HIPAA | Aerosol Transmissible Diseases | DOT Shipping</w:t>
      </w:r>
    </w:p>
    <w:p>
      <w:pPr>
        <w:pStyle w:val="ListParagraph"/>
        <w:numPr>
          <w:ilvl w:val="0"/>
          <w:numId w:val="2"/>
        </w:numPr>
        <w:spacing w:after="30"/>
      </w:pPr>
      <w:r>
        <w:rPr>
          <w:rFonts w:ascii="Calibri" w:cs="Calibri" w:eastAsia="Calibri" w:hAnsi="Calibri"/>
          <w:b w:val="false"/>
          <w:bCs w:val="false"/>
          <w:sz w:val="21"/>
          <w:szCs w:val="21"/>
        </w:rPr>
        <w:t xml:space="preserve">Google Advanced Data Analytics | Stanford Online AI in Healthcare | Interprofessional Healthcare Informatics</w:t>
      </w:r>
    </w:p>
    <w:p>
      <w:pPr>
        <w:pStyle w:val="ListParagraph"/>
        <w:numPr>
          <w:ilvl w:val="0"/>
          <w:numId w:val="2"/>
        </w:numPr>
        <w:spacing w:after="30"/>
      </w:pPr>
      <w:r>
        <w:rPr>
          <w:rFonts w:ascii="Calibri" w:cs="Calibri" w:eastAsia="Calibri" w:hAnsi="Calibri"/>
          <w:b w:val="false"/>
          <w:bCs w:val="false"/>
          <w:sz w:val="21"/>
          <w:szCs w:val="21"/>
        </w:rPr>
        <w:t xml:space="preserve">AAMI Certified Biomedical Equipment Technician (CBET)</w:t>
      </w:r>
    </w:p>
    <w:p>
      <w:pPr>
        <w:pStyle w:val="ListParagraph"/>
        <w:numPr>
          <w:ilvl w:val="0"/>
          <w:numId w:val="2"/>
        </w:numPr>
        <w:spacing w:after="30"/>
      </w:pPr>
      <w:r>
        <w:rPr>
          <w:rFonts w:ascii="Calibri" w:cs="Calibri" w:eastAsia="Calibri" w:hAnsi="Calibri"/>
          <w:b w:val="false"/>
          <w:bCs w:val="false"/>
          <w:sz w:val="21"/>
          <w:szCs w:val="21"/>
        </w:rPr>
        <w:t xml:space="preserve">NREMT Registry No. E3767060 | CPT I Registry No. CPT 02270029 | American Heart Association BLS, ACLS, PALS</w:t>
      </w:r>
    </w:p>
    <w:p>
      <w:pPr>
        <w:keepNext/>
        <w:pBdr>
          <w:bottom w:val="single" w:color="444444" w:sz="6"/>
        </w:pBdr>
        <w:spacing w:after="80" w:before="200"/>
      </w:pPr>
      <w:r>
        <w:rPr>
          <w:rFonts w:ascii="Calibri" w:cs="Calibri" w:eastAsia="Calibri" w:hAnsi="Calibri"/>
          <w:b/>
          <w:bCs/>
          <w:sz w:val="22"/>
          <w:szCs w:val="22"/>
        </w:rPr>
        <w:t xml:space="preserve">PUBLICATIONS</w:t>
      </w:r>
    </w:p>
    <w:p>
      <w:pPr>
        <w:spacing w:after="4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numPr>
          <w:ilvl w:val="0"/>
          <w:numId w:val="2"/>
        </w:numPr>
        <w:spacing w:after="30"/>
      </w:pPr>
      <w:r>
        <w:rPr>
          <w:rFonts w:ascii="Calibri" w:cs="Calibri" w:eastAsia="Calibri" w:hAnsi="Calibri"/>
          <w:b w:val="false"/>
          <w:bCs w:val="false"/>
          <w:sz w:val="21"/>
          <w:szCs w:val="21"/>
        </w:rPr>
        <w:t xml:space="preserve">JAMA. 2023. Higher-dose fluvoxamine and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b w:val="false"/>
          <w:bCs w:val="false"/>
          <w:sz w:val="21"/>
          <w:szCs w:val="21"/>
        </w:rPr>
        <w:t xml:space="preserve">JAMA. 2024. Nirmatrelvir-ritonavir and symptoms in adults with post-acute sequelae of SARS-CoV-2 infection: The STOP-PASC randomized clinical trial. ClinicalTrials.gov: NCT05576662.</w:t>
      </w:r>
    </w:p>
    <w:p>
      <w:pPr>
        <w:pStyle w:val="ListParagraph"/>
        <w:numPr>
          <w:ilvl w:val="0"/>
          <w:numId w:val="2"/>
        </w:numPr>
        <w:spacing w:after="30"/>
      </w:pPr>
      <w:r>
        <w:rPr>
          <w:rFonts w:ascii="Calibri" w:cs="Calibri" w:eastAsia="Calibri" w:hAnsi="Calibri"/>
          <w:b w:val="false"/>
          <w:bCs w:val="false"/>
          <w:sz w:val="21"/>
          <w:szCs w:val="21"/>
        </w:rPr>
        <w:t xml:space="preserve">JAMA Network Open. 2024. Effect of montelukast versus placebo on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b w:val="false"/>
          <w:bCs w:val="false"/>
          <w:sz w:val="21"/>
          <w:szCs w:val="21"/>
        </w:rPr>
        <w:t xml:space="preserve">JAMA Internal Medicine. 2025. Metformin and time to sustained recovery in adults with COVID-19: The ACTIV-6 randomized clinical trial. ClinicalTrials.gov: NCT04885530.</w:t>
      </w:r>
    </w:p>
    <w:p>
      <w:pPr>
        <w:keepNext/>
        <w:pBdr>
          <w:bottom w:val="single" w:color="444444" w:sz="6"/>
        </w:pBdr>
        <w:spacing w:after="80" w:before="200"/>
      </w:pPr>
      <w:r>
        <w:rPr>
          <w:rFonts w:ascii="Calibri" w:cs="Calibri" w:eastAsia="Calibri" w:hAnsi="Calibri"/>
          <w:b/>
          <w:bCs/>
          <w:sz w:val="22"/>
          <w:szCs w:val="22"/>
        </w:rPr>
        <w:t xml:space="preserve">EDUCATION</w:t>
      </w:r>
    </w:p>
    <w:p>
      <w:pPr>
        <w:spacing w:after="40"/>
      </w:pPr>
      <w:r>
        <w:rPr>
          <w:rFonts w:ascii="Calibri" w:cs="Calibri" w:eastAsia="Calibri" w:hAnsi="Calibri"/>
          <w:b/>
          <w:bCs/>
          <w:sz w:val="21"/>
          <w:szCs w:val="21"/>
        </w:rPr>
        <w:t xml:space="preserve">MA, International Studies</w:t>
      </w:r>
      <w:r>
        <w:rPr>
          <w:rFonts w:ascii="Calibri" w:cs="Calibri" w:eastAsia="Calibri" w:hAnsi="Calibri"/>
          <w:b w:val="false"/>
          <w:bCs w:val="false"/>
          <w:sz w:val="21"/>
          <w:szCs w:val="21"/>
        </w:rPr>
        <w:t xml:space="preserve"> | Chapman University, Orange, CA</w:t>
      </w:r>
    </w:p>
    <w:p>
      <w:pPr>
        <w:spacing w:after="40"/>
      </w:pPr>
      <w:r>
        <w:rPr>
          <w:rFonts w:ascii="Calibri" w:cs="Calibri" w:eastAsia="Calibri" w:hAnsi="Calibri"/>
          <w:b w:val="false"/>
          <w:bCs w:val="false"/>
          <w:sz w:val="21"/>
          <w:szCs w:val="21"/>
        </w:rPr>
        <w:t xml:space="preserve">Graduate Fellowship Award (2x) | Sigma Iota Rho Honor Society</w:t>
      </w:r>
    </w:p>
    <w:p>
      <w:pPr>
        <w:spacing w:after="40"/>
      </w:pPr>
      <w:r>
        <w:rPr>
          <w:rFonts w:ascii="Calibri" w:cs="Calibri" w:eastAsia="Calibri" w:hAnsi="Calibri"/>
          <w:b/>
          <w:bCs/>
          <w:sz w:val="21"/>
          <w:szCs w:val="21"/>
        </w:rPr>
        <w:t xml:space="preserve">BA, Classics</w:t>
      </w:r>
      <w:r>
        <w:rPr>
          <w:rFonts w:ascii="Calibri" w:cs="Calibri" w:eastAsia="Calibri" w:hAnsi="Calibri"/>
          <w:b w:val="false"/>
          <w:bCs w:val="false"/>
          <w:sz w:val="21"/>
          <w:szCs w:val="21"/>
        </w:rPr>
        <w:t xml:space="preserve"> | California State University Long Beach, Long Beach, CA</w:t>
      </w:r>
    </w:p>
    <w:p>
      <w:pPr>
        <w:spacing w:after="40"/>
      </w:pPr>
      <w:r>
        <w:rPr>
          <w:rFonts w:ascii="Calibri" w:cs="Calibri" w:eastAsia="Calibri" w:hAnsi="Calibri"/>
          <w:b w:val="false"/>
          <w:bCs w:val="false"/>
          <w:sz w:val="21"/>
          <w:szCs w:val="21"/>
        </w:rPr>
        <w:t xml:space="preserve">Eta Sigma Phi Honor Society</w:t>
      </w:r>
    </w:p>
    <w:p>
      <w:pPr>
        <w:spacing w:after="40"/>
      </w:pPr>
      <w:r>
        <w:rPr>
          <w:rFonts w:ascii="Calibri" w:cs="Calibri" w:eastAsia="Calibri" w:hAnsi="Calibri"/>
          <w:b/>
          <w:bCs/>
          <w:sz w:val="21"/>
          <w:szCs w:val="21"/>
        </w:rPr>
        <w:t xml:space="preserve">Certificate in Pre-Medicine and General Sciences with Distinction</w:t>
      </w:r>
      <w:r>
        <w:rPr>
          <w:rFonts w:ascii="Calibri" w:cs="Calibri" w:eastAsia="Calibri" w:hAnsi="Calibri"/>
          <w:b w:val="false"/>
          <w:bCs w:val="false"/>
          <w:sz w:val="21"/>
          <w:szCs w:val="21"/>
        </w:rPr>
        <w:t xml:space="preserve"> | UCLA Extension, Los Angeles, CA</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2026-07-29T05:54:46.531Z</dcterms:created>
  <dcterms:modified xsi:type="dcterms:W3CDTF">2026-07-29T05:54:46.531Z</dcterms:modified>
</cp:coreProperties>
</file>

<file path=docProps/custom.xml><?xml version="1.0" encoding="utf-8"?>
<Properties xmlns="http://schemas.openxmlformats.org/officeDocument/2006/custom-properties" xmlns:vt="http://schemas.openxmlformats.org/officeDocument/2006/docPropsVTypes"/>
</file>