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Andrew O'Donnell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Los Angeles, CA | aodhan.o@outlook.com | 650.213.2381 | linkedin.com/in/andrewdavidodonnell/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sz w:val="23"/>
          <w:szCs w:val="23"/>
        </w:rPr>
        <w:t xml:space="preserve">CLINICAL RESEARCH COORDINATOR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Clinical Research Coordinator with 8+ years of experience across Stanford University School of Medicine, the U.S. Air Force, and a Level I trauma center. Coordinated concurrent NIH and industry clinical trials (Phase II-IV) for 1,500+ participants, with direct experience in informed consent, eligibility screening, study visits, safety reporting with CTCAE grading, and EDC data management under ICH GCP and 21 CFR. Licensed CPT-I phlebotomist with DOT specimen shipping certification and bedside emergency department experience caring for pediatric hematology and oncology patients. ACRP-Certified Project Manager and Certified Professional.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Informed Consent &amp; eConsent | Eligibility Screening &amp; Enrollment | Patient Recruitment &amp; Retention | Study Visit Coordination (Onsite &amp; Decentralized) | AE/SAE Reporting &amp; CTCAE Grading | Phlebotomy (CPT-I Licensed) | DOT-Certified Specimen Shipping | Investigational Product Shipments | Protocol Compliance (ICH GCP, 21 CFR, HIPAA) | EDC &amp; Data Quality | Sponsor &amp; CRO Relations | Staff Training &amp; Preceptorship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Clinical Systems: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CTMS - OnCore, Oracle Siebel | EDC - Medidata Rave, REDCap | eTMF | eConsent | ePRO/eCOA | Epic | IRT | Cerner | Safety Reporting - AE/SAE, CTCAE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Data Analytics: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SAS | SPSS | R | Python | Excel (Advanced Functions) | Smartsheet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Collaboration Tools: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 Microsoft Office Suite | Teams | Zoom | Slack | Adobe Acrobat Sign | SharePoint | Box | DocuSign | Jira | Confluence | Google Workspace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EXPERIENCE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Clinical Research Coordinator Associate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Stanford University Department of Medicine, Palo Alto, CA | Nov 2021 ‑ Feb 2026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Executed clinical operations for 1,500+ participants across concurrent NIH and industry trials (Phase II-IV) in infectious disease, post-acute sequelae of SARS-CoV-2, and chronic diseases; led recruitment and enrollment operations with the site consistently ranked among the top enrollment sites nationally.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Conducted patient-facing study visits onsite and through decentralized workflows, including eConsent, telehealth check-ins, ePRO, and home investigational product shipments, ensuring protocol adherence and participant engagement.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protocol compliance and safety documentation, including AE/SAE reporting with CTCAE grading, partnering with sponsors, CROs, and PIs to sustain audit readiness under ICH GCP and 21 CFR.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Served as Honest Broker for Gilead GS-US-685-6819, ensuring HIPAA-compliant consent and data handling in direct collaboration with trial leadership; involved in budgeting, billing, and feasibility management.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Optimized REDCap/OnCore databases with validation rules, queries, and dashboards, achieving 90%+ on-time query resolution.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Trained and onboarded incoming clinical research coordinators on protocol workflows, eConsent, ePRO, and REDCap/OnCore data entry; developed study-specific training materials and acted as the escalation point for study procedures.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Technical Operations Manager (Contract)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International SOS (Iqarus), Fort Lee, VA | Aug 2021 ‑ Sep 2021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biomedical operations at the first U.S. haven site for Operation Allies Welcome, supporting medical intake and care for 25K+ evacuees from Afghanistan.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Designed and implemented high-throughput COVID-19 testing and vaccination protocols that cut average processing time per patient from 30 to approximately 18 minutes (40% faster), and trained staff and interagency partners on the resulting workflows.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Collaborated with Army Public Health and interagency partners to ensure rapid benefit enrollment, offsite medical referrals, and 100% compliance with CDC vaccination and screening requirements.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Emergency Department Technician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RCET | Children's Hospital of Orange County, Santa Ana, CA | Jan 2018 ‑ Oct 2021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Delivered frontline care in a top-ranked Level I pediatric trauma center, assisting in triage, stabilization, and 20K+ annual emergency encounters.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Provided bedside care for pediatric hematology and oncology patients, including fever and neutropenia presentations and oncology code events; prepared sterile fields and supplies for implanted port access.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Assisted in code events, including intubation, resuscitation, medication preparation, and patient transport, as an extension of physicians and nurses.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Precepted and trained new emergency department technicians on triage support, trauma bay setup, and respiratory equipment operation.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Sustained reliability of respiratory care equipment (CPAP, BiPAP, ventilators, high-flow O2) through proactive maintenance and troubleshooting.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Healthcare Technology Manager</w:t>
      </w:r>
      <w:r>
        <w:rPr>
          <w:rFonts w:ascii="Calibri" w:cs="Calibri" w:eastAsia="Calibri" w:hAnsi="Calibri"/>
          <w:b w:val="false"/>
          <w:bCs w:val="false"/>
          <w:sz w:val="19"/>
          <w:szCs w:val="19"/>
        </w:rPr>
        <w:t xml:space="preserve"> | 4A2x5 | U.S. Air Force, Various Locations | Sep 2017 ‑ Sep 2025, ADT ‑ Reserve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Maintained 98%+ preventive-maintenance compliance across 200+ biomedical devices valued at $2M+, ensuring Joint Commission and DoD accreditation readiness.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Led HTM for the 752nd Medical Squadron during Global Medic 2019, supervising 6 biomedical personnel in a multinational mass-casualty exercise.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Supervised and trained airmen in biomedical equipment maintenance and safe equipment use, achieving zero equipment-related incidents.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LICENSES AND CERTIFICATIONS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Association of Clinical Research Professionals - Project Manager (ACRP-PM), Certified Professional (ACRP-CP)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CPT I Phlebotomy Registry No. CPT 02270029 | NREMT Registry No. E3767060 | American Heart Association BLS, ACLS, PALS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CITI Good Clinical Practice (GCP) | HIPAA | Aerosol Transmissible Diseases | DOT Shipping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Pre-Hospital Trauma Life Support (PHTLS) | Tactical Combat Casualty Care Level II (TCCC)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AAMI Certified Biomedical Equipment Technician (CBET)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Stanford Online AI in Healthcare | Google Advanced Data Analytics | Interprofessional Healthcare Informatics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PUBLICATIONS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2023. Higher-dose fluvoxamine and time to sustained recovery in outpatients with COVID-19: The ACTIV-6 randomized clinical trial. ClinicalTrials.gov: NCT04885530.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JAMA. 2024. Nirmatrelvir-ritonavir and symptoms in adults with post-acute sequelae of SARS-CoV-2 infection: The STOP-PASC randomized clinical trial. ClinicalTrials.gov: NCT05576662.</w:t>
      </w:r>
    </w:p>
    <w:p>
      <w:pPr>
        <w:pStyle w:val="ListParagraph"/>
        <w:keepNext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Network Open. 2024. Effect of montelukast versus placebo on time to sustained recovery in outpatients with COVID-19: The ACTIV-6 randomized clinical trial. ClinicalTrials.gov: NCT04885530.</w:t>
      </w:r>
    </w:p>
    <w:p>
      <w:pPr>
        <w:pStyle w:val="ListParagraph"/>
        <w:keepNext w:val="false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JAMA Internal Medicine. 2025. Metformin and time to sustained recovery in adults with COVID-19: The ACTIV-6 randomized clinical trial. ClinicalTrials.gov: NCT04885530.</w:t>
      </w:r>
    </w:p>
    <w:p>
      <w:pPr>
        <w:keepNext/>
        <w:pBdr>
          <w:bottom w:val="single" w:color="000000" w:sz="14"/>
        </w:pBdr>
        <w:spacing w:after="80" w:before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MA, International Studies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Chapman University, Orange,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Graduate Fellowship Award (2x) | Sigma Iota Rho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BA, Classics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California State University Long Beach, Long Beach, CA</w:t>
      </w:r>
    </w:p>
    <w:p>
      <w:pPr>
        <w:spacing w:after="40"/>
      </w:pP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Eta Sigma Phi Honor Society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Certificate in Pre-Medicine and General Sciences with Distinction</w:t>
      </w:r>
      <w:r>
        <w:rPr>
          <w:rFonts w:ascii="Calibri" w:cs="Calibri" w:eastAsia="Calibri" w:hAnsi="Calibri"/>
          <w:b w:val="false"/>
          <w:bCs w:val="false"/>
          <w:sz w:val="21"/>
          <w:szCs w:val="21"/>
        </w:rPr>
        <w:t xml:space="preserve"> | UCLA Extension, Los Angeles, CA</w:t>
      </w:r>
    </w:p>
    <w:sectPr>
      <w:pgSz w:w="12240" w:h="15840" w:orient="portrait"/>
      <w:pgMar w:top="863" w:right="863" w:bottom="863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2026-07-29T06:13:53.984Z</dcterms:created>
  <dcterms:modified xsi:type="dcterms:W3CDTF">2026-07-29T06:13:54.009Z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