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Andrew O'Donnell</w:t>
      </w:r>
    </w:p>
    <w:p>
      <w:pPr>
        <w:spacing w:after="80"/>
        <w:jc w:val="center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Los Angeles, CA | aodhan.o@outlook.com | 650.213.2381 | linkedin.com/in/andrewdavidodonnell/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CLINICAL RESEARCH COORDINATOR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Clinical Research Coordinator with 8+ years of experience across Stanford University School of Medicine, the U.S. Air Force, and a Level I trauma center. Coordinated concurrent NIH and industry clinical trials (Phase II-IV) for 1,500+ participants, with direct experience in informed consent, eligibility screening, study visits, safety reporting with CTCAE grading, and EDC data management under ICH GCP and 21 CFR. Licensed CPT-I phlebotomist with DOT specimen shipping certification and bedside emergency department experience caring for pediatric hematology and oncology patients. ACRP-Certified Project Manager and Certified Professional.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COMPETENCIES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Informed Consent &amp; eConsent | Eligibility Screening &amp; Enrollment | Patient Recruitment &amp; Retention | Study Visit Coordination (Onsite &amp; Decentralized) | AE/SAE Reporting &amp; CTCAE Grading | Phlebotomy (CPT-I Licensed) | DOT-Certified Specimen Shipping | Investigational Product Shipments | Protocol Compliance (ICH GCP, 21 CFR, HIPAA) | EDC &amp; Data Quality | Sponsor &amp; CRO Relations | Staff Training &amp; Preceptorship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Clinical Systems: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CTMS - OnCore, Oracle Siebel | EDC - Medidata Rave, REDCap | eTMF | eConsent | ePRO/eCOA | Epic | IRT | Cerner | Safety Reporting - AE/SAE, CTCAE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Analytics: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SAS | SPSS | R | Python | Excel (Advanced Functions) | Smartsheet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Collaboration Tools: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Microsoft Office Suite | Teams | Zoom | Slack | Adobe Acrobat Sign | SharePoint | Box | DocuSign | Jira | Confluence | Google Workspace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EXPERIENCE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Clinical Research Coordinator Associate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Stanford University Department of Medicine, Palo Alto, CA | Nov 2021 ‑ Feb 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Executed clinical operations for 1,500+ participants across concurrent NIH and industry trials (Phase II-IV) in infectious disease, post-acute sequelae of SARS-CoV-2, and chronic diseases; led recruitment and enrollment operations with the site consistently ranked among the top enrollment sites nationally.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Conducted patient-facing study visits onsite and through decentralized workflows, including eConsent, telehealth check-ins, ePRO, and home investigational product shipments, ensuring protocol adherence and participant engagement.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protocol compliance and safety documentation, including AE/SAE reporting with CTCAE grading, partnering with sponsors, CROs, and PIs to sustain audit readiness under ICH GCP and 21 CFR.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Served as Honest Broker for Gilead GS-US-685-6819, ensuring HIPAA-compliant consent and data handling in direct collaboration with trial leadership; involved in budgeting, billing, and feasibility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Optimized REDCap/OnCore databases with validation rules, queries, and dashboards, achieving 90%+ on-time query resolution.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Trained and onboarded incoming clinical research coordinators on protocol workflows, eConsent, ePRO, and REDCap/OnCore data entry; developed study-specific training materials and acted as the escalation point for study procedures.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Technical Operations Manager (Contract)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International SOS (Iqarus), Fort Lee, VA | Aug 2021 ‑ Sep 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biomedical operations at the first U.S. haven site for Operation Allies Welcome, supporting medical intake and care for 25K+ evacuees from Afghanistan.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Designed and implemented high-throughput COVID-19 testing and vaccination protocols that cut average processing time per patient from 30 to approximately 18 minutes (40% faster), and trained staff and interagency partners on the resulting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Collaborated with Army Public Health and interagency partners to ensure rapid benefit enrollment, offsite medical referrals, and 100% compliance with CDC vaccination and screening requirements.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Emergency Department Technician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RCET | Children's Hospital of Orange County, Santa Ana, CA | Jan 2018 ‑ Oct 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Delivered frontline care in a top-ranked Level I pediatric trauma center, assisting in triage, stabilization, and 20K+ annual emergency encounters.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Provided bedside care for pediatric hematology and oncology patients, including fever and neutropenia presentations and oncology code events; prepared sterile fields and supplies for implanted port access.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Assisted in code events, including intubation, resuscitation, medication preparation, and patient transport, as an extension of physicians and nurses.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Precepted and trained new emergency department technicians on triage support, trauma bay setup, and respiratory equipment operation.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Sustained reliability of respiratory care equipment (CPAP, BiPAP, ventilators, high-flow O2) through proactive maintenance and troubleshooting.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Healthcare Technology Manager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4A2x5 | U.S. Air Force, Various Locations | Sep 2017 ‑ Sep 2025, ADT ‑ Reserve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98%+ preventive-maintenance compliance across 200+ biomedical devices valued at $2M+, ensuring Joint Commission and DoD accreditation readiness.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HTM for the 752nd Medical Squadron during Global Medic 2019, supervising 6 biomedical personnel in a multinational mass-casualty exercise.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Supervised and trained airmen in biomedical equipment maintenance and safe equipment use, achieving zero equipment-related incidents.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LICENSES AND 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Association of Clinical Research Professionals - Project Manager (ACRP-PM), Certified Professional (ACRP-CP)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CPT I Phlebotomy Registry No. CPT 02270029 | NREMT Registry No. E3767060 | American Heart Association BLS, ACLS, PALS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CITI Good Clinical Practice (GCP) | HIPAA | Aerosol Transmissible Diseases | DOT Shipping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Pre-Hospital Trauma Life Support (PHTLS) | Tactical Combat Casualty Care Level II (TCCC)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AAMI Certified Biomedical Equipment Technician (CBET)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Stanford Online AI in Healthcare | Google Advanced Data Analytics | Interprofessional Healthcare Informatics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2023. Higher-dose fluvoxamine and time to sustained recovery in outpatients with COVID-19: The ACTIV-6 randomized clinical trial. ClinicalTrials.gov: NCT04885530.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2024. Nirmatrelvir-ritonavir and symptoms in adults with post-acute sequelae of SARS-CoV-2 infection: The STOP-PASC randomized clinical trial. ClinicalTrials.gov: NCT05576662.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Network Open. 2024. Effect of montelukast versus placebo on time to sustained recovery in outpatients with COVID-19: The ACTIV-6 randomized clinical trial. ClinicalTrials.gov: NCT04885530.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Internal Medicine. 2025. Metformin and time to sustained recovery in adults with COVID-19: The ACTIV-6 randomized clinical trial. ClinicalTrials.gov: NCT04885530.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MA, International Studies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 | Chapman University, Orange,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Graduate Fellowship Award (2x) | Sigma Iota Rho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BA, Classics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 | California State University Long Beach, Long Beach,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Eta Sigma Phi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Certificate in Pre-Medicine and General Sciences with Distinction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 | UCLA Extension, Los Angeles, CA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2026-07-29T06:01:34.499Z</dcterms:created>
  <dcterms:modified xsi:type="dcterms:W3CDTF">2026-07-29T06:01:34.499Z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