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93B182" w14:textId="77777777" w:rsidR="00837196" w:rsidRDefault="00000000">
      <w:pPr>
        <w:spacing w:before="720" w:after="120"/>
      </w:pPr>
      <w:r>
        <w:rPr>
          <w:rFonts w:ascii="Georgia" w:eastAsia="Georgia" w:hAnsi="Georgia" w:cs="Georgia"/>
          <w:b/>
          <w:bCs/>
          <w:color w:val="1E2D3D"/>
          <w:sz w:val="56"/>
          <w:szCs w:val="56"/>
        </w:rPr>
        <w:t>BUXTON ADR</w:t>
      </w:r>
    </w:p>
    <w:p w14:paraId="770D710F" w14:textId="77777777" w:rsidR="00837196" w:rsidRDefault="00000000">
      <w:pPr>
        <w:spacing w:after="120"/>
      </w:pPr>
      <w:proofErr w:type="gramStart"/>
      <w:r>
        <w:rPr>
          <w:rFonts w:ascii="Courier New" w:eastAsia="Courier New" w:hAnsi="Courier New" w:cs="Courier New"/>
          <w:b/>
          <w:bCs/>
          <w:color w:val="8B2035"/>
        </w:rPr>
        <w:t>MEDIATION  ·</w:t>
      </w:r>
      <w:proofErr w:type="gramEnd"/>
      <w:r>
        <w:rPr>
          <w:rFonts w:ascii="Courier New" w:eastAsia="Courier New" w:hAnsi="Courier New" w:cs="Courier New"/>
          <w:b/>
          <w:bCs/>
          <w:color w:val="8B2035"/>
        </w:rPr>
        <w:t xml:space="preserve">  </w:t>
      </w:r>
      <w:proofErr w:type="gramStart"/>
      <w:r>
        <w:rPr>
          <w:rFonts w:ascii="Courier New" w:eastAsia="Courier New" w:hAnsi="Courier New" w:cs="Courier New"/>
          <w:b/>
          <w:bCs/>
          <w:color w:val="8B2035"/>
        </w:rPr>
        <w:t>ARBITRATION  ·</w:t>
      </w:r>
      <w:proofErr w:type="gramEnd"/>
      <w:r>
        <w:rPr>
          <w:rFonts w:ascii="Courier New" w:eastAsia="Courier New" w:hAnsi="Courier New" w:cs="Courier New"/>
          <w:b/>
          <w:bCs/>
          <w:color w:val="8B2035"/>
        </w:rPr>
        <w:t xml:space="preserve">  MED-ARB</w:t>
      </w:r>
    </w:p>
    <w:p w14:paraId="59B74C6E" w14:textId="77777777" w:rsidR="00837196" w:rsidRDefault="00837196">
      <w:pPr>
        <w:pBdr>
          <w:bottom w:val="single" w:sz="4" w:space="0" w:color="C8C0B4"/>
        </w:pBdr>
        <w:spacing w:before="200" w:after="200"/>
      </w:pPr>
    </w:p>
    <w:p w14:paraId="67FBEBA7" w14:textId="77777777" w:rsidR="00837196" w:rsidRDefault="00000000">
      <w:pPr>
        <w:spacing w:after="80"/>
      </w:pPr>
      <w:r>
        <w:rPr>
          <w:i/>
          <w:iCs/>
          <w:color w:val="5A6A74"/>
          <w:sz w:val="24"/>
          <w:szCs w:val="24"/>
        </w:rPr>
        <w:t>Website Wireframe — Copy Document</w:t>
      </w:r>
    </w:p>
    <w:p w14:paraId="468C61C0" w14:textId="77777777" w:rsidR="00837196" w:rsidRDefault="00000000">
      <w:pPr>
        <w:spacing w:after="80"/>
      </w:pPr>
      <w:r>
        <w:rPr>
          <w:color w:val="5A6A74"/>
        </w:rPr>
        <w:t>Prepared by Bright Idea Solutions × Pacific Telecom Consulting</w:t>
      </w:r>
    </w:p>
    <w:p w14:paraId="128ED4CD" w14:textId="77777777" w:rsidR="00837196" w:rsidRDefault="00000000">
      <w:pPr>
        <w:spacing w:after="600"/>
      </w:pPr>
      <w:proofErr w:type="gramStart"/>
      <w:r>
        <w:rPr>
          <w:color w:val="5A6A74"/>
        </w:rPr>
        <w:t>buxtonadr.ca  |</w:t>
      </w:r>
      <w:proofErr w:type="gramEnd"/>
      <w:r>
        <w:rPr>
          <w:color w:val="5A6A74"/>
        </w:rPr>
        <w:t xml:space="preserve">  For client review</w:t>
      </w:r>
    </w:p>
    <w:p w14:paraId="0C866BFB" w14:textId="77777777" w:rsidR="00837196" w:rsidRDefault="00837196">
      <w:pPr>
        <w:pBdr>
          <w:bottom w:val="single" w:sz="4" w:space="0" w:color="C8C0B4"/>
        </w:pBdr>
        <w:spacing w:before="200" w:after="200"/>
      </w:pPr>
    </w:p>
    <w:p w14:paraId="1BE935CE" w14:textId="77777777" w:rsidR="00837196" w:rsidRDefault="00000000">
      <w:pPr>
        <w:spacing w:before="360" w:after="80"/>
      </w:pPr>
      <w:r>
        <w:rPr>
          <w:rFonts w:ascii="Courier New" w:eastAsia="Courier New" w:hAnsi="Courier New" w:cs="Courier New"/>
          <w:b/>
          <w:bCs/>
          <w:color w:val="8B2035"/>
          <w:sz w:val="16"/>
          <w:szCs w:val="16"/>
        </w:rPr>
        <w:t>NAVIGATION</w:t>
      </w:r>
    </w:p>
    <w:p w14:paraId="5CC1ED76" w14:textId="77777777" w:rsidR="00837196" w:rsidRDefault="00000000">
      <w:pPr>
        <w:pStyle w:val="Heading2"/>
      </w:pPr>
      <w:r>
        <w:t>Nav Bar</w:t>
      </w:r>
    </w:p>
    <w:p w14:paraId="16BFA89A" w14:textId="77777777" w:rsidR="00837196" w:rsidRDefault="00000000">
      <w:pPr>
        <w:spacing w:before="60" w:after="100"/>
      </w:pPr>
      <w:r>
        <w:rPr>
          <w:color w:val="2A3A44"/>
          <w:sz w:val="22"/>
          <w:szCs w:val="22"/>
        </w:rPr>
        <w:t>Logo: Buxton ADR (horizontal wordmark)</w:t>
      </w:r>
    </w:p>
    <w:p w14:paraId="51B3E287" w14:textId="77777777" w:rsidR="00837196" w:rsidRDefault="00000000">
      <w:pPr>
        <w:spacing w:before="60" w:after="100"/>
      </w:pPr>
      <w:r>
        <w:rPr>
          <w:color w:val="2A3A44"/>
          <w:sz w:val="22"/>
          <w:szCs w:val="22"/>
        </w:rPr>
        <w:t xml:space="preserve">Links: </w:t>
      </w:r>
      <w:proofErr w:type="gramStart"/>
      <w:r>
        <w:rPr>
          <w:color w:val="2A3A44"/>
          <w:sz w:val="22"/>
          <w:szCs w:val="22"/>
        </w:rPr>
        <w:t>Practice  |</w:t>
      </w:r>
      <w:proofErr w:type="gramEnd"/>
      <w:r>
        <w:rPr>
          <w:color w:val="2A3A44"/>
          <w:sz w:val="22"/>
          <w:szCs w:val="22"/>
        </w:rPr>
        <w:t xml:space="preserve">  </w:t>
      </w:r>
      <w:proofErr w:type="gramStart"/>
      <w:r>
        <w:rPr>
          <w:color w:val="2A3A44"/>
          <w:sz w:val="22"/>
          <w:szCs w:val="22"/>
        </w:rPr>
        <w:t>About  |</w:t>
      </w:r>
      <w:proofErr w:type="gramEnd"/>
      <w:r>
        <w:rPr>
          <w:color w:val="2A3A44"/>
          <w:sz w:val="22"/>
          <w:szCs w:val="22"/>
        </w:rPr>
        <w:t xml:space="preserve">  Med-</w:t>
      </w:r>
      <w:proofErr w:type="gramStart"/>
      <w:r>
        <w:rPr>
          <w:color w:val="2A3A44"/>
          <w:sz w:val="22"/>
          <w:szCs w:val="22"/>
        </w:rPr>
        <w:t>Arb  |</w:t>
      </w:r>
      <w:proofErr w:type="gramEnd"/>
      <w:r>
        <w:rPr>
          <w:color w:val="2A3A44"/>
          <w:sz w:val="22"/>
          <w:szCs w:val="22"/>
        </w:rPr>
        <w:t xml:space="preserve">  Book a Call</w:t>
      </w:r>
    </w:p>
    <w:p w14:paraId="7D0632ED" w14:textId="77777777" w:rsidR="00837196" w:rsidRDefault="00000000">
      <w:pPr>
        <w:spacing w:before="60" w:after="80"/>
      </w:pPr>
      <w:r>
        <w:rPr>
          <w:i/>
          <w:iCs/>
          <w:color w:val="8B2035"/>
        </w:rPr>
        <w:t>['Book a Call' is the primary CTA — styled as a button in maroon]</w:t>
      </w:r>
    </w:p>
    <w:p w14:paraId="71DC9EC9" w14:textId="77777777" w:rsidR="00837196" w:rsidRDefault="00000000">
      <w:pPr>
        <w:spacing w:before="60" w:after="80"/>
      </w:pPr>
      <w:r>
        <w:rPr>
          <w:i/>
          <w:iCs/>
          <w:color w:val="8B2035"/>
        </w:rPr>
        <w:t>[Nav is sticky — remains visible on scroll]</w:t>
      </w:r>
    </w:p>
    <w:p w14:paraId="37C48C6A" w14:textId="77777777" w:rsidR="00837196" w:rsidRDefault="00837196">
      <w:pPr>
        <w:pBdr>
          <w:bottom w:val="single" w:sz="4" w:space="0" w:color="C8C0B4"/>
        </w:pBdr>
        <w:spacing w:before="200" w:after="200"/>
      </w:pPr>
    </w:p>
    <w:p w14:paraId="0A4BA10B" w14:textId="77777777" w:rsidR="00837196" w:rsidRDefault="00000000">
      <w:pPr>
        <w:spacing w:before="360" w:after="80"/>
      </w:pPr>
      <w:r>
        <w:rPr>
          <w:rFonts w:ascii="Courier New" w:eastAsia="Courier New" w:hAnsi="Courier New" w:cs="Courier New"/>
          <w:b/>
          <w:bCs/>
          <w:color w:val="8B2035"/>
          <w:sz w:val="16"/>
          <w:szCs w:val="16"/>
        </w:rPr>
        <w:t>SECTION 01 — HERO</w:t>
      </w:r>
    </w:p>
    <w:p w14:paraId="126DD101" w14:textId="77777777" w:rsidR="00837196" w:rsidRDefault="00000000">
      <w:pPr>
        <w:pStyle w:val="Heading2"/>
      </w:pPr>
      <w:r>
        <w:t>Hero</w:t>
      </w:r>
    </w:p>
    <w:p w14:paraId="19F7DB13" w14:textId="77777777" w:rsidR="00837196" w:rsidRDefault="00000000">
      <w:pPr>
        <w:spacing w:before="120" w:after="40"/>
      </w:pPr>
      <w:r>
        <w:rPr>
          <w:b/>
          <w:bCs/>
          <w:color w:val="5A6A74"/>
        </w:rPr>
        <w:t>Eyebrow (small caps, monospace):</w:t>
      </w:r>
    </w:p>
    <w:p w14:paraId="549C14DC" w14:textId="77777777" w:rsidR="00837196" w:rsidRDefault="00000000">
      <w:pPr>
        <w:spacing w:before="60" w:after="100"/>
      </w:pPr>
      <w:proofErr w:type="gramStart"/>
      <w:r>
        <w:rPr>
          <w:color w:val="2A3A44"/>
          <w:sz w:val="22"/>
          <w:szCs w:val="22"/>
        </w:rPr>
        <w:t>Mediator  ·</w:t>
      </w:r>
      <w:proofErr w:type="gramEnd"/>
      <w:r>
        <w:rPr>
          <w:color w:val="2A3A44"/>
          <w:sz w:val="22"/>
          <w:szCs w:val="22"/>
        </w:rPr>
        <w:t xml:space="preserve">  </w:t>
      </w:r>
      <w:proofErr w:type="gramStart"/>
      <w:r>
        <w:rPr>
          <w:color w:val="2A3A44"/>
          <w:sz w:val="22"/>
          <w:szCs w:val="22"/>
        </w:rPr>
        <w:t>Arbitrator  ·</w:t>
      </w:r>
      <w:proofErr w:type="gramEnd"/>
      <w:r>
        <w:rPr>
          <w:color w:val="2A3A44"/>
          <w:sz w:val="22"/>
          <w:szCs w:val="22"/>
        </w:rPr>
        <w:t xml:space="preserve">  Med-Arb Specialist</w:t>
      </w:r>
    </w:p>
    <w:p w14:paraId="02D9152A" w14:textId="77777777" w:rsidR="00837196" w:rsidRDefault="00000000">
      <w:pPr>
        <w:spacing w:before="120" w:after="40"/>
      </w:pPr>
      <w:r>
        <w:rPr>
          <w:b/>
          <w:bCs/>
          <w:color w:val="5A6A74"/>
        </w:rPr>
        <w:t>H1 — Primary Headline:</w:t>
      </w:r>
    </w:p>
    <w:p w14:paraId="5D0DAC8B" w14:textId="77777777" w:rsidR="00837196" w:rsidRDefault="00000000">
      <w:pPr>
        <w:spacing w:after="80"/>
      </w:pPr>
      <w:r>
        <w:rPr>
          <w:rFonts w:ascii="Georgia" w:eastAsia="Georgia" w:hAnsi="Georgia" w:cs="Georgia"/>
          <w:b/>
          <w:bCs/>
          <w:color w:val="1E2D3D"/>
          <w:sz w:val="40"/>
          <w:szCs w:val="40"/>
        </w:rPr>
        <w:t>Forty-five years in the room.</w:t>
      </w:r>
    </w:p>
    <w:p w14:paraId="70A14ADB" w14:textId="77777777" w:rsidR="00837196" w:rsidRDefault="00000000">
      <w:pPr>
        <w:spacing w:before="120" w:after="40"/>
      </w:pPr>
      <w:r>
        <w:rPr>
          <w:b/>
          <w:bCs/>
          <w:color w:val="5A6A74"/>
        </w:rPr>
        <w:t>Subhead line 1:</w:t>
      </w:r>
    </w:p>
    <w:p w14:paraId="76C195C9" w14:textId="77777777" w:rsidR="00837196" w:rsidRDefault="00000000">
      <w:pPr>
        <w:spacing w:before="60" w:after="100"/>
      </w:pPr>
      <w:r>
        <w:rPr>
          <w:color w:val="2A3A44"/>
          <w:sz w:val="22"/>
          <w:szCs w:val="22"/>
        </w:rPr>
        <w:t>Peter Buxton, K.C. knows what a judge will do. So do the lawyers who retain him.</w:t>
      </w:r>
    </w:p>
    <w:p w14:paraId="7B9C4550" w14:textId="77777777" w:rsidR="00837196" w:rsidRDefault="00000000">
      <w:pPr>
        <w:spacing w:before="80" w:after="40"/>
      </w:pPr>
      <w:r>
        <w:rPr>
          <w:b/>
          <w:bCs/>
          <w:color w:val="5A6A74"/>
        </w:rPr>
        <w:t>Subhead line 2:</w:t>
      </w:r>
    </w:p>
    <w:p w14:paraId="351C13A9" w14:textId="77777777" w:rsidR="00837196" w:rsidRDefault="00000000">
      <w:pPr>
        <w:spacing w:before="60" w:after="100"/>
      </w:pPr>
      <w:r>
        <w:rPr>
          <w:color w:val="2A3A44"/>
          <w:sz w:val="22"/>
          <w:szCs w:val="22"/>
        </w:rPr>
        <w:t>Med-Arb delivers a binding decision in months, not years, with every chance to settle first.</w:t>
      </w:r>
    </w:p>
    <w:p w14:paraId="112B0F24" w14:textId="77777777" w:rsidR="00837196" w:rsidRDefault="00000000">
      <w:pPr>
        <w:spacing w:before="120" w:after="40"/>
      </w:pPr>
      <w:r>
        <w:rPr>
          <w:b/>
          <w:bCs/>
          <w:color w:val="5A6A74"/>
        </w:rPr>
        <w:t>CTAs:</w:t>
      </w:r>
    </w:p>
    <w:p w14:paraId="3BF09C43" w14:textId="77777777" w:rsidR="00837196" w:rsidRDefault="00000000">
      <w:pPr>
        <w:spacing w:after="160"/>
      </w:pPr>
      <w:r>
        <w:rPr>
          <w:rFonts w:ascii="Courier New" w:eastAsia="Courier New" w:hAnsi="Courier New" w:cs="Courier New"/>
          <w:color w:val="8B2035"/>
          <w:sz w:val="18"/>
          <w:szCs w:val="18"/>
        </w:rPr>
        <w:t xml:space="preserve">  [BUTTON: Book a </w:t>
      </w:r>
      <w:proofErr w:type="gramStart"/>
      <w:r>
        <w:rPr>
          <w:rFonts w:ascii="Courier New" w:eastAsia="Courier New" w:hAnsi="Courier New" w:cs="Courier New"/>
          <w:color w:val="8B2035"/>
          <w:sz w:val="18"/>
          <w:szCs w:val="18"/>
        </w:rPr>
        <w:t xml:space="preserve">Call]   </w:t>
      </w:r>
      <w:proofErr w:type="gramEnd"/>
      <w:r>
        <w:rPr>
          <w:rFonts w:ascii="Courier New" w:eastAsia="Courier New" w:hAnsi="Courier New" w:cs="Courier New"/>
          <w:color w:val="8B2035"/>
          <w:sz w:val="18"/>
          <w:szCs w:val="18"/>
        </w:rPr>
        <w:t xml:space="preserve"> [PHONE: 604-250-5709]  </w:t>
      </w:r>
    </w:p>
    <w:p w14:paraId="18A79B6C" w14:textId="77777777" w:rsidR="00837196" w:rsidRDefault="00837196">
      <w:pPr>
        <w:pBdr>
          <w:bottom w:val="single" w:sz="4" w:space="0" w:color="C8C0B4"/>
        </w:pBdr>
        <w:spacing w:before="200" w:after="200"/>
      </w:pPr>
    </w:p>
    <w:p w14:paraId="3C653E8B" w14:textId="77777777" w:rsidR="00207B11" w:rsidRDefault="00207B11">
      <w:pPr>
        <w:spacing w:before="360" w:after="80"/>
        <w:rPr>
          <w:rFonts w:ascii="Courier New" w:eastAsia="Courier New" w:hAnsi="Courier New" w:cs="Courier New"/>
          <w:b/>
          <w:bCs/>
          <w:color w:val="8B2035"/>
          <w:sz w:val="16"/>
          <w:szCs w:val="16"/>
        </w:rPr>
      </w:pPr>
    </w:p>
    <w:p w14:paraId="710232FB" w14:textId="46BC2F09" w:rsidR="00837196" w:rsidRDefault="00000000">
      <w:pPr>
        <w:spacing w:before="360" w:after="80"/>
      </w:pPr>
      <w:r>
        <w:rPr>
          <w:rFonts w:ascii="Courier New" w:eastAsia="Courier New" w:hAnsi="Courier New" w:cs="Courier New"/>
          <w:b/>
          <w:bCs/>
          <w:color w:val="8B2035"/>
          <w:sz w:val="16"/>
          <w:szCs w:val="16"/>
        </w:rPr>
        <w:lastRenderedPageBreak/>
        <w:t>SECTION 02 — PRACTICE</w:t>
      </w:r>
    </w:p>
    <w:p w14:paraId="7C6AC296" w14:textId="77777777" w:rsidR="00837196" w:rsidRDefault="00000000">
      <w:pPr>
        <w:pStyle w:val="Heading2"/>
      </w:pPr>
      <w:r>
        <w:t>Practice</w:t>
      </w:r>
    </w:p>
    <w:p w14:paraId="26B7FAFE" w14:textId="77777777" w:rsidR="00837196" w:rsidRDefault="00000000">
      <w:pPr>
        <w:spacing w:before="60" w:after="80"/>
      </w:pPr>
      <w:r>
        <w:rPr>
          <w:i/>
          <w:iCs/>
          <w:color w:val="8B2035"/>
        </w:rPr>
        <w:t>[Three-column card layout. Med-Arb is the featured (centre) card.]</w:t>
      </w:r>
    </w:p>
    <w:p w14:paraId="7B24978B" w14:textId="77777777" w:rsidR="00837196" w:rsidRDefault="00000000">
      <w:pPr>
        <w:pStyle w:val="Heading3"/>
      </w:pPr>
      <w:r>
        <w:t>Mediation</w:t>
      </w:r>
    </w:p>
    <w:p w14:paraId="45D6B551" w14:textId="77777777" w:rsidR="00837196" w:rsidRDefault="00000000">
      <w:pPr>
        <w:spacing w:before="60" w:after="100"/>
      </w:pPr>
      <w:r>
        <w:rPr>
          <w:color w:val="2A3A44"/>
          <w:sz w:val="22"/>
          <w:szCs w:val="22"/>
        </w:rPr>
        <w:t>A structured process where Peter facilitates negotiation between parties. He asks the right questions, reads what is not being said, and helps both sides arrive at a resolution they can stand behind. Seventy to eighty percent of med-arb files settle at this stage.</w:t>
      </w:r>
    </w:p>
    <w:p w14:paraId="58F6CE00" w14:textId="77777777" w:rsidR="00837196" w:rsidRDefault="00000000">
      <w:pPr>
        <w:pStyle w:val="Heading3"/>
      </w:pPr>
      <w:r>
        <w:t>Med-</w:t>
      </w:r>
      <w:proofErr w:type="gramStart"/>
      <w:r>
        <w:t>Arb  [</w:t>
      </w:r>
      <w:proofErr w:type="gramEnd"/>
      <w:r>
        <w:t>Featured]</w:t>
      </w:r>
    </w:p>
    <w:p w14:paraId="0F49AD38" w14:textId="77777777" w:rsidR="00837196" w:rsidRDefault="00000000">
      <w:pPr>
        <w:spacing w:before="60" w:after="100"/>
      </w:pPr>
      <w:r>
        <w:rPr>
          <w:color w:val="2A3A44"/>
          <w:sz w:val="22"/>
          <w:szCs w:val="22"/>
        </w:rPr>
        <w:t>The process begins as a mediation. If the parties reach agreement, the file closes. If they don't, Peter moves seamlessly into the role of arbitrator and delivers a binding decision. One neutral. One process. Resolution guaranteed.</w:t>
      </w:r>
    </w:p>
    <w:p w14:paraId="1887014E" w14:textId="77777777" w:rsidR="00837196" w:rsidRDefault="00000000">
      <w:pPr>
        <w:spacing w:before="40" w:after="120"/>
      </w:pPr>
      <w:r>
        <w:rPr>
          <w:rFonts w:ascii="Courier New" w:eastAsia="Courier New" w:hAnsi="Courier New" w:cs="Courier New"/>
          <w:color w:val="8B2035"/>
          <w:sz w:val="18"/>
          <w:szCs w:val="18"/>
        </w:rPr>
        <w:t xml:space="preserve">  [LINK: How Med-Arb works → FAQ section]  </w:t>
      </w:r>
    </w:p>
    <w:p w14:paraId="0E49DD83" w14:textId="77777777" w:rsidR="00837196" w:rsidRDefault="00000000">
      <w:pPr>
        <w:pStyle w:val="Heading3"/>
      </w:pPr>
      <w:r>
        <w:t>Arbitration</w:t>
      </w:r>
    </w:p>
    <w:p w14:paraId="42C3ABB4" w14:textId="77777777" w:rsidR="00837196" w:rsidRDefault="00000000">
      <w:pPr>
        <w:spacing w:before="60" w:after="100"/>
      </w:pPr>
      <w:r>
        <w:rPr>
          <w:color w:val="2A3A44"/>
          <w:sz w:val="22"/>
          <w:szCs w:val="22"/>
        </w:rPr>
        <w:t>When a decision needs to be made, Peter makes it. As a former trial lawyer with over four decades of courtroom experience, he understands what evidence means, how findings of fact are made, and what a written decision needs to hold up.</w:t>
      </w:r>
    </w:p>
    <w:p w14:paraId="679EEC4F" w14:textId="77777777" w:rsidR="00837196" w:rsidRDefault="00837196">
      <w:pPr>
        <w:pBdr>
          <w:bottom w:val="single" w:sz="4" w:space="0" w:color="C8C0B4"/>
        </w:pBdr>
        <w:spacing w:before="200" w:after="200"/>
      </w:pPr>
    </w:p>
    <w:p w14:paraId="56DC7D52" w14:textId="77777777" w:rsidR="00837196" w:rsidRDefault="00000000">
      <w:pPr>
        <w:spacing w:before="360" w:after="80"/>
      </w:pPr>
      <w:r>
        <w:rPr>
          <w:rFonts w:ascii="Courier New" w:eastAsia="Courier New" w:hAnsi="Courier New" w:cs="Courier New"/>
          <w:b/>
          <w:bCs/>
          <w:color w:val="8B2035"/>
          <w:sz w:val="16"/>
          <w:szCs w:val="16"/>
        </w:rPr>
        <w:t>SECTION 03 — WHO HE WORKS WITH</w:t>
      </w:r>
    </w:p>
    <w:p w14:paraId="63C09ED5" w14:textId="77777777" w:rsidR="00837196" w:rsidRDefault="00000000">
      <w:pPr>
        <w:pStyle w:val="Heading2"/>
      </w:pPr>
      <w:r>
        <w:t>Who He Works With</w:t>
      </w:r>
    </w:p>
    <w:p w14:paraId="6F9A4EBB" w14:textId="77777777" w:rsidR="00837196" w:rsidRDefault="00000000">
      <w:pPr>
        <w:spacing w:before="60" w:after="100"/>
      </w:pPr>
      <w:r>
        <w:rPr>
          <w:color w:val="2A3A44"/>
          <w:sz w:val="22"/>
          <w:szCs w:val="22"/>
        </w:rPr>
        <w:t>Peter works primarily with lawyers and law firms who need a neutral they can trust to run a professional process and, when asked, give an honest read on the file.</w:t>
      </w:r>
    </w:p>
    <w:p w14:paraId="0DCB57B8" w14:textId="77777777" w:rsidR="00837196" w:rsidRDefault="00000000">
      <w:pPr>
        <w:spacing w:before="60" w:after="80"/>
      </w:pPr>
      <w:r>
        <w:rPr>
          <w:i/>
          <w:iCs/>
          <w:color w:val="8B2035"/>
        </w:rPr>
        <w:t>[Four panels in a two-column grid, each with left border accent.]</w:t>
      </w:r>
    </w:p>
    <w:p w14:paraId="4CF0E404" w14:textId="77777777" w:rsidR="00837196" w:rsidRDefault="00000000">
      <w:pPr>
        <w:pStyle w:val="Heading3"/>
      </w:pPr>
      <w:r>
        <w:t>Law Firms and Solo Practitioners</w:t>
      </w:r>
    </w:p>
    <w:p w14:paraId="506853CE" w14:textId="77777777" w:rsidR="00837196" w:rsidRDefault="00000000">
      <w:pPr>
        <w:spacing w:before="60" w:after="100"/>
      </w:pPr>
      <w:r>
        <w:rPr>
          <w:color w:val="2A3A44"/>
          <w:sz w:val="22"/>
          <w:szCs w:val="22"/>
        </w:rPr>
        <w:t>Personal injury, estate, and commercial matters that have stalled or are too complex for a standard mediation. Peter gives counsel the read on the file they need to advise their clients confidently.</w:t>
      </w:r>
    </w:p>
    <w:p w14:paraId="4D63E452" w14:textId="77777777" w:rsidR="00837196" w:rsidRDefault="00000000">
      <w:pPr>
        <w:pStyle w:val="Heading3"/>
      </w:pPr>
      <w:r>
        <w:t>Estate and Wills Variation</w:t>
      </w:r>
    </w:p>
    <w:p w14:paraId="0C3AF981" w14:textId="77777777" w:rsidR="00837196" w:rsidRDefault="00000000">
      <w:pPr>
        <w:spacing w:before="60" w:after="100"/>
      </w:pPr>
      <w:r>
        <w:rPr>
          <w:color w:val="2A3A44"/>
          <w:sz w:val="22"/>
          <w:szCs w:val="22"/>
        </w:rPr>
        <w:t>Files where family relationships are strained, timelines are urgent, and a court process would cost more than the estate can bear. A binding outcome, with privacy protected throughout.</w:t>
      </w:r>
    </w:p>
    <w:p w14:paraId="4D8289ED" w14:textId="77777777" w:rsidR="00837196" w:rsidRDefault="00000000">
      <w:pPr>
        <w:pStyle w:val="Heading3"/>
      </w:pPr>
      <w:r>
        <w:t>Corporate and Commercial Parties</w:t>
      </w:r>
    </w:p>
    <w:p w14:paraId="23F22E8D" w14:textId="77777777" w:rsidR="00837196" w:rsidRDefault="00000000">
      <w:pPr>
        <w:spacing w:before="60" w:after="100"/>
      </w:pPr>
      <w:r>
        <w:rPr>
          <w:color w:val="2A3A44"/>
          <w:sz w:val="22"/>
          <w:szCs w:val="22"/>
        </w:rPr>
        <w:t>Shareholder, partnership, and contractual disputes where a binding outcome matters and the cost of full-blown litigation is disproportionate to the amount at stake.</w:t>
      </w:r>
    </w:p>
    <w:p w14:paraId="1CF0AED1" w14:textId="77777777" w:rsidR="00837196" w:rsidRDefault="00000000">
      <w:pPr>
        <w:pStyle w:val="Heading3"/>
      </w:pPr>
      <w:r>
        <w:t>Sports Organizations</w:t>
      </w:r>
    </w:p>
    <w:p w14:paraId="586F485D" w14:textId="77777777" w:rsidR="00837196" w:rsidRDefault="00000000">
      <w:pPr>
        <w:spacing w:before="60" w:after="100"/>
      </w:pPr>
      <w:r>
        <w:rPr>
          <w:color w:val="2A3A44"/>
          <w:sz w:val="22"/>
          <w:szCs w:val="22"/>
        </w:rPr>
        <w:t>Membership, eligibility, and governance decisions that need to be made quickly, fairly, and by someone with real governance experience. Peter has served at every level of organized sport in Canada.</w:t>
      </w:r>
    </w:p>
    <w:p w14:paraId="4037F9B7" w14:textId="77777777" w:rsidR="00837196" w:rsidRDefault="00837196">
      <w:pPr>
        <w:pBdr>
          <w:bottom w:val="single" w:sz="4" w:space="0" w:color="C8C0B4"/>
        </w:pBdr>
        <w:spacing w:before="200" w:after="200"/>
      </w:pPr>
    </w:p>
    <w:p w14:paraId="3E73CAD4" w14:textId="77777777" w:rsidR="00837196" w:rsidRDefault="00000000">
      <w:pPr>
        <w:spacing w:before="360" w:after="80"/>
      </w:pPr>
      <w:r>
        <w:rPr>
          <w:rFonts w:ascii="Courier New" w:eastAsia="Courier New" w:hAnsi="Courier New" w:cs="Courier New"/>
          <w:b/>
          <w:bCs/>
          <w:color w:val="8B2035"/>
          <w:sz w:val="16"/>
          <w:szCs w:val="16"/>
        </w:rPr>
        <w:lastRenderedPageBreak/>
        <w:t>SECTION 04 — CREDENTIALS AND EXPERIENCE</w:t>
      </w:r>
    </w:p>
    <w:p w14:paraId="7B390FB0" w14:textId="77777777" w:rsidR="00837196" w:rsidRDefault="00000000">
      <w:pPr>
        <w:pStyle w:val="Heading2"/>
      </w:pPr>
      <w:r>
        <w:t>Credentials and Experience</w:t>
      </w:r>
    </w:p>
    <w:p w14:paraId="571BC99F" w14:textId="77777777" w:rsidR="00837196" w:rsidRDefault="00000000">
      <w:pPr>
        <w:pStyle w:val="Heading3"/>
      </w:pPr>
      <w:r>
        <w:t>Why Peter.</w:t>
      </w:r>
    </w:p>
    <w:p w14:paraId="6012CE2C" w14:textId="3A1F80D7" w:rsidR="00837196" w:rsidRDefault="00000000">
      <w:pPr>
        <w:spacing w:before="60" w:after="100"/>
      </w:pPr>
      <w:r>
        <w:rPr>
          <w:color w:val="2A3A44"/>
          <w:sz w:val="22"/>
          <w:szCs w:val="22"/>
        </w:rPr>
        <w:t>Peter Buxton has been a trial lawyer in BC since 1981. He has appeared in Provincial Court, the BC Supreme Court, and the BC Court of Appeal across personal injury, criminal, family, estate, corporate, and labour matters. He achieved King's Counsel in 2015.</w:t>
      </w:r>
      <w:r w:rsidR="00207B11">
        <w:rPr>
          <w:color w:val="2A3A44"/>
          <w:sz w:val="22"/>
          <w:szCs w:val="22"/>
        </w:rPr>
        <w:br/>
      </w:r>
    </w:p>
    <w:p w14:paraId="4C7C6006" w14:textId="659E90D2" w:rsidR="00837196" w:rsidRDefault="00000000">
      <w:pPr>
        <w:spacing w:before="60" w:after="100"/>
      </w:pPr>
      <w:r>
        <w:rPr>
          <w:color w:val="2A3A44"/>
          <w:sz w:val="22"/>
          <w:szCs w:val="22"/>
        </w:rPr>
        <w:t>He holds a Harvard Law School certification in mediation and completed his Med-Arb specialist training through CLEBC under Carol Hickman, K.C. and Arlene Henry, K.C., two of the foremost Med-Arb practitioners in Canada.</w:t>
      </w:r>
      <w:r w:rsidR="00207B11">
        <w:rPr>
          <w:color w:val="2A3A44"/>
          <w:sz w:val="22"/>
          <w:szCs w:val="22"/>
        </w:rPr>
        <w:br/>
      </w:r>
    </w:p>
    <w:p w14:paraId="5A7CB18D" w14:textId="0F26A487" w:rsidR="00837196" w:rsidRDefault="00000000">
      <w:pPr>
        <w:spacing w:before="60" w:after="100"/>
      </w:pPr>
      <w:r>
        <w:rPr>
          <w:color w:val="2A3A44"/>
          <w:sz w:val="22"/>
          <w:szCs w:val="22"/>
        </w:rPr>
        <w:t>He is a rostered member of Mediate BC, a practicing member of the Law Society of British Columbia, and a current member of the Canadian Bar Association, the Surrey Bar Association, and the New Westminster Bar Association. He serves as a mentor to two generations of BC trial lawyers and continues to act as a sounding board for senior counsel preparing complex files.</w:t>
      </w:r>
      <w:r w:rsidR="00207B11">
        <w:rPr>
          <w:color w:val="2A3A44"/>
          <w:sz w:val="22"/>
          <w:szCs w:val="22"/>
        </w:rPr>
        <w:br/>
      </w:r>
    </w:p>
    <w:p w14:paraId="7CB45339" w14:textId="58829985" w:rsidR="00837196" w:rsidRDefault="00000000">
      <w:pPr>
        <w:spacing w:before="120" w:after="160"/>
      </w:pPr>
      <w:r>
        <w:rPr>
          <w:b/>
          <w:bCs/>
          <w:color w:val="5A6A74"/>
        </w:rPr>
        <w:t>Credential tags:</w:t>
      </w:r>
      <w:proofErr w:type="gramStart"/>
      <w:r>
        <w:rPr>
          <w:b/>
          <w:bCs/>
          <w:color w:val="5A6A74"/>
        </w:rPr>
        <w:t xml:space="preserve"> </w:t>
      </w:r>
      <w:r>
        <w:rPr>
          <w:rFonts w:ascii="Courier New" w:eastAsia="Courier New" w:hAnsi="Courier New" w:cs="Courier New"/>
          <w:color w:val="8B2035"/>
          <w:sz w:val="18"/>
          <w:szCs w:val="18"/>
        </w:rPr>
        <w:t xml:space="preserve">  [</w:t>
      </w:r>
      <w:proofErr w:type="gramEnd"/>
      <w:r>
        <w:rPr>
          <w:rFonts w:ascii="Courier New" w:eastAsia="Courier New" w:hAnsi="Courier New" w:cs="Courier New"/>
          <w:color w:val="8B2035"/>
          <w:sz w:val="18"/>
          <w:szCs w:val="18"/>
        </w:rPr>
        <w:t xml:space="preserve">K.C.]    [Harvard </w:t>
      </w:r>
      <w:proofErr w:type="gramStart"/>
      <w:r>
        <w:rPr>
          <w:rFonts w:ascii="Courier New" w:eastAsia="Courier New" w:hAnsi="Courier New" w:cs="Courier New"/>
          <w:color w:val="8B2035"/>
          <w:sz w:val="18"/>
          <w:szCs w:val="18"/>
        </w:rPr>
        <w:t xml:space="preserve">Certified]   </w:t>
      </w:r>
      <w:proofErr w:type="gramEnd"/>
      <w:r>
        <w:rPr>
          <w:rFonts w:ascii="Courier New" w:eastAsia="Courier New" w:hAnsi="Courier New" w:cs="Courier New"/>
          <w:color w:val="8B2035"/>
          <w:sz w:val="18"/>
          <w:szCs w:val="18"/>
        </w:rPr>
        <w:t xml:space="preserve"> [Med-Arb </w:t>
      </w:r>
      <w:proofErr w:type="gramStart"/>
      <w:r>
        <w:rPr>
          <w:rFonts w:ascii="Courier New" w:eastAsia="Courier New" w:hAnsi="Courier New" w:cs="Courier New"/>
          <w:color w:val="8B2035"/>
          <w:sz w:val="18"/>
          <w:szCs w:val="18"/>
        </w:rPr>
        <w:t xml:space="preserve">Specialist]   </w:t>
      </w:r>
      <w:proofErr w:type="gramEnd"/>
      <w:r>
        <w:rPr>
          <w:rFonts w:ascii="Courier New" w:eastAsia="Courier New" w:hAnsi="Courier New" w:cs="Courier New"/>
          <w:color w:val="8B2035"/>
          <w:sz w:val="18"/>
          <w:szCs w:val="18"/>
        </w:rPr>
        <w:t xml:space="preserve"> [Mediate BC Civil </w:t>
      </w:r>
      <w:proofErr w:type="gramStart"/>
      <w:r>
        <w:rPr>
          <w:rFonts w:ascii="Courier New" w:eastAsia="Courier New" w:hAnsi="Courier New" w:cs="Courier New"/>
          <w:color w:val="8B2035"/>
          <w:sz w:val="18"/>
          <w:szCs w:val="18"/>
        </w:rPr>
        <w:t xml:space="preserve">Roster]   </w:t>
      </w:r>
      <w:proofErr w:type="gramEnd"/>
      <w:r>
        <w:rPr>
          <w:rFonts w:ascii="Courier New" w:eastAsia="Courier New" w:hAnsi="Courier New" w:cs="Courier New"/>
          <w:color w:val="8B2035"/>
          <w:sz w:val="18"/>
          <w:szCs w:val="18"/>
        </w:rPr>
        <w:t xml:space="preserve"> [Law Society of </w:t>
      </w:r>
      <w:proofErr w:type="gramStart"/>
      <w:r>
        <w:rPr>
          <w:rFonts w:ascii="Courier New" w:eastAsia="Courier New" w:hAnsi="Courier New" w:cs="Courier New"/>
          <w:color w:val="8B2035"/>
          <w:sz w:val="18"/>
          <w:szCs w:val="18"/>
        </w:rPr>
        <w:t xml:space="preserve">BC]   </w:t>
      </w:r>
      <w:proofErr w:type="gramEnd"/>
      <w:r>
        <w:rPr>
          <w:rFonts w:ascii="Courier New" w:eastAsia="Courier New" w:hAnsi="Courier New" w:cs="Courier New"/>
          <w:color w:val="8B2035"/>
          <w:sz w:val="18"/>
          <w:szCs w:val="18"/>
        </w:rPr>
        <w:t xml:space="preserve"> [Called to Bar 1981]  </w:t>
      </w:r>
      <w:r w:rsidR="00207B11">
        <w:rPr>
          <w:rFonts w:ascii="Courier New" w:eastAsia="Courier New" w:hAnsi="Courier New" w:cs="Courier New"/>
          <w:color w:val="8B2035"/>
          <w:sz w:val="18"/>
          <w:szCs w:val="18"/>
        </w:rPr>
        <w:br/>
      </w:r>
    </w:p>
    <w:p w14:paraId="2CE9AC37" w14:textId="77777777" w:rsidR="00837196" w:rsidRDefault="00000000">
      <w:pPr>
        <w:spacing w:before="120" w:after="60"/>
      </w:pPr>
      <w:r>
        <w:rPr>
          <w:b/>
          <w:bCs/>
          <w:color w:val="5A6A74"/>
        </w:rPr>
        <w:t>Pull Quote:</w:t>
      </w:r>
    </w:p>
    <w:p w14:paraId="1B809339" w14:textId="77777777" w:rsidR="00837196" w:rsidRDefault="00000000">
      <w:pPr>
        <w:pBdr>
          <w:left w:val="thick" w:sz="12" w:space="0" w:color="8B2035"/>
        </w:pBdr>
        <w:spacing w:before="160" w:after="60"/>
        <w:ind w:left="720"/>
      </w:pPr>
      <w:r>
        <w:rPr>
          <w:b/>
          <w:bCs/>
          <w:i/>
          <w:iCs/>
          <w:color w:val="1E2D3D"/>
          <w:sz w:val="24"/>
          <w:szCs w:val="24"/>
        </w:rPr>
        <w:t xml:space="preserve">"It's not about the mediator. It's about asking the right </w:t>
      </w:r>
      <w:proofErr w:type="gramStart"/>
      <w:r>
        <w:rPr>
          <w:b/>
          <w:bCs/>
          <w:i/>
          <w:iCs/>
          <w:color w:val="1E2D3D"/>
          <w:sz w:val="24"/>
          <w:szCs w:val="24"/>
        </w:rPr>
        <w:t>questions, and</w:t>
      </w:r>
      <w:proofErr w:type="gramEnd"/>
      <w:r>
        <w:rPr>
          <w:b/>
          <w:bCs/>
          <w:i/>
          <w:iCs/>
          <w:color w:val="1E2D3D"/>
          <w:sz w:val="24"/>
          <w:szCs w:val="24"/>
        </w:rPr>
        <w:t xml:space="preserve"> giving the person across the table the confidence to tell you where they actually stand."</w:t>
      </w:r>
    </w:p>
    <w:p w14:paraId="2E9CB1FF" w14:textId="77777777" w:rsidR="00837196" w:rsidRDefault="00000000">
      <w:pPr>
        <w:spacing w:after="160"/>
        <w:ind w:left="720"/>
      </w:pPr>
      <w:r>
        <w:rPr>
          <w:rFonts w:ascii="Courier New" w:eastAsia="Courier New" w:hAnsi="Courier New" w:cs="Courier New"/>
          <w:color w:val="5A6A74"/>
          <w:sz w:val="18"/>
          <w:szCs w:val="18"/>
        </w:rPr>
        <w:t>— Peter Buxton, K.C.</w:t>
      </w:r>
    </w:p>
    <w:p w14:paraId="4C6557A2" w14:textId="77777777" w:rsidR="00837196" w:rsidRDefault="00837196">
      <w:pPr>
        <w:pBdr>
          <w:bottom w:val="single" w:sz="4" w:space="0" w:color="C8C0B4"/>
        </w:pBdr>
        <w:spacing w:before="200" w:after="200"/>
      </w:pPr>
    </w:p>
    <w:p w14:paraId="66DFAD14" w14:textId="77777777" w:rsidR="00837196" w:rsidRDefault="00000000">
      <w:pPr>
        <w:spacing w:before="360" w:after="80"/>
      </w:pPr>
      <w:r>
        <w:rPr>
          <w:rFonts w:ascii="Courier New" w:eastAsia="Courier New" w:hAnsi="Courier New" w:cs="Courier New"/>
          <w:b/>
          <w:bCs/>
          <w:color w:val="8B2035"/>
          <w:sz w:val="16"/>
          <w:szCs w:val="16"/>
        </w:rPr>
        <w:t>SECTION 05 — TESTIMONIALS</w:t>
      </w:r>
    </w:p>
    <w:p w14:paraId="2DFFC031" w14:textId="77777777" w:rsidR="00837196" w:rsidRDefault="00000000">
      <w:pPr>
        <w:pStyle w:val="Heading2"/>
      </w:pPr>
      <w:r>
        <w:t>What Counsel Say</w:t>
      </w:r>
    </w:p>
    <w:p w14:paraId="477CEF2B" w14:textId="77777777" w:rsidR="00837196" w:rsidRDefault="00000000">
      <w:pPr>
        <w:spacing w:before="60" w:after="80"/>
      </w:pPr>
      <w:r>
        <w:rPr>
          <w:i/>
          <w:iCs/>
          <w:color w:val="8B2035"/>
        </w:rPr>
        <w:t>[Three-column grid. Placeholders below — to be filled with testimonials Peter collects.]</w:t>
      </w:r>
    </w:p>
    <w:p w14:paraId="1EF01685" w14:textId="77777777" w:rsidR="00837196" w:rsidRDefault="00000000">
      <w:pPr>
        <w:pStyle w:val="Heading3"/>
      </w:pPr>
      <w:r>
        <w:t xml:space="preserve">Testimonial </w:t>
      </w:r>
      <w:proofErr w:type="gramStart"/>
      <w:r>
        <w:t>1  [</w:t>
      </w:r>
      <w:proofErr w:type="gramEnd"/>
      <w:r>
        <w:t>Placeholder]</w:t>
      </w:r>
    </w:p>
    <w:p w14:paraId="7B9CB43F" w14:textId="77777777" w:rsidR="00837196" w:rsidRDefault="00000000">
      <w:pPr>
        <w:spacing w:before="60" w:after="100"/>
      </w:pPr>
      <w:r>
        <w:rPr>
          <w:color w:val="2A3A44"/>
          <w:sz w:val="22"/>
          <w:szCs w:val="22"/>
        </w:rPr>
        <w:t>Personal injury or ICBC context. A short paragraph from a lawyer who retained Peter on a complex personal injury file.</w:t>
      </w:r>
    </w:p>
    <w:p w14:paraId="45BBBD1D" w14:textId="77777777" w:rsidR="00837196" w:rsidRDefault="00000000">
      <w:pPr>
        <w:spacing w:after="120"/>
      </w:pPr>
      <w:r>
        <w:rPr>
          <w:i/>
          <w:iCs/>
          <w:color w:val="5A6A74"/>
        </w:rPr>
        <w:t>— [Name], [Firm], [City]</w:t>
      </w:r>
    </w:p>
    <w:p w14:paraId="4E52CE7C" w14:textId="77777777" w:rsidR="00837196" w:rsidRDefault="00000000">
      <w:pPr>
        <w:pStyle w:val="Heading3"/>
      </w:pPr>
      <w:r>
        <w:t xml:space="preserve">Testimonial </w:t>
      </w:r>
      <w:proofErr w:type="gramStart"/>
      <w:r>
        <w:t>2  [</w:t>
      </w:r>
      <w:proofErr w:type="gramEnd"/>
      <w:r>
        <w:t>Placeholder]</w:t>
      </w:r>
    </w:p>
    <w:p w14:paraId="59C859CA" w14:textId="77777777" w:rsidR="00837196" w:rsidRDefault="00000000">
      <w:pPr>
        <w:spacing w:before="60" w:after="100"/>
      </w:pPr>
      <w:r>
        <w:rPr>
          <w:color w:val="2A3A44"/>
          <w:sz w:val="22"/>
          <w:szCs w:val="22"/>
        </w:rPr>
        <w:t>Estate or commercial context. A short paragraph speaking to Peter's ability to run a fair, efficient process.</w:t>
      </w:r>
    </w:p>
    <w:p w14:paraId="7629860D" w14:textId="77777777" w:rsidR="00837196" w:rsidRDefault="00000000">
      <w:pPr>
        <w:spacing w:after="120"/>
      </w:pPr>
      <w:r>
        <w:rPr>
          <w:i/>
          <w:iCs/>
          <w:color w:val="5A6A74"/>
        </w:rPr>
        <w:t>— [Name], [Firm], [City]</w:t>
      </w:r>
    </w:p>
    <w:p w14:paraId="3208A19A" w14:textId="77777777" w:rsidR="00837196" w:rsidRDefault="00000000">
      <w:pPr>
        <w:pStyle w:val="Heading3"/>
      </w:pPr>
      <w:r>
        <w:t xml:space="preserve">Testimonial </w:t>
      </w:r>
      <w:proofErr w:type="gramStart"/>
      <w:r>
        <w:t>3  [</w:t>
      </w:r>
      <w:proofErr w:type="gramEnd"/>
      <w:r>
        <w:t>Placeholder]</w:t>
      </w:r>
    </w:p>
    <w:p w14:paraId="102C549C" w14:textId="77777777" w:rsidR="00837196" w:rsidRDefault="00000000">
      <w:pPr>
        <w:spacing w:before="60" w:after="100"/>
      </w:pPr>
      <w:r>
        <w:rPr>
          <w:color w:val="2A3A44"/>
          <w:sz w:val="22"/>
          <w:szCs w:val="22"/>
        </w:rPr>
        <w:t>Process or character. A short paragraph about what it is like to work with Peter in the room.</w:t>
      </w:r>
    </w:p>
    <w:p w14:paraId="0FB698FA" w14:textId="77777777" w:rsidR="00837196" w:rsidRDefault="00000000">
      <w:pPr>
        <w:spacing w:after="120"/>
      </w:pPr>
      <w:r>
        <w:rPr>
          <w:i/>
          <w:iCs/>
          <w:color w:val="5A6A74"/>
        </w:rPr>
        <w:t>— [Name], [Firm], [City]</w:t>
      </w:r>
    </w:p>
    <w:p w14:paraId="6B175A0D" w14:textId="77777777" w:rsidR="00837196" w:rsidRDefault="00837196">
      <w:pPr>
        <w:pBdr>
          <w:bottom w:val="single" w:sz="4" w:space="0" w:color="C8C0B4"/>
        </w:pBdr>
        <w:spacing w:before="200" w:after="200"/>
      </w:pPr>
    </w:p>
    <w:p w14:paraId="79E69D81" w14:textId="77777777" w:rsidR="00837196" w:rsidRDefault="00000000">
      <w:pPr>
        <w:spacing w:before="360" w:after="80"/>
      </w:pPr>
      <w:r>
        <w:rPr>
          <w:rFonts w:ascii="Courier New" w:eastAsia="Courier New" w:hAnsi="Courier New" w:cs="Courier New"/>
          <w:b/>
          <w:bCs/>
          <w:color w:val="8B2035"/>
          <w:sz w:val="16"/>
          <w:szCs w:val="16"/>
        </w:rPr>
        <w:lastRenderedPageBreak/>
        <w:t>SECTION 06 — MED-ARB FAQ</w:t>
      </w:r>
    </w:p>
    <w:p w14:paraId="1F355693" w14:textId="77777777" w:rsidR="00837196" w:rsidRDefault="00000000">
      <w:pPr>
        <w:pStyle w:val="Heading2"/>
      </w:pPr>
      <w:r>
        <w:t>Understanding Med-Arb</w:t>
      </w:r>
    </w:p>
    <w:p w14:paraId="5C4710DB" w14:textId="77777777" w:rsidR="00837196" w:rsidRDefault="00000000">
      <w:pPr>
        <w:spacing w:before="60" w:after="100"/>
      </w:pPr>
      <w:r>
        <w:rPr>
          <w:color w:val="2A3A44"/>
          <w:sz w:val="22"/>
          <w:szCs w:val="22"/>
        </w:rPr>
        <w:t>Med-Arb is still unfamiliar to many lawyers and parties outside the field. These are the questions Peter is most often asked on an intake call.</w:t>
      </w:r>
    </w:p>
    <w:p w14:paraId="2D5E7807" w14:textId="5A74C0CB" w:rsidR="00837196" w:rsidRDefault="00000000">
      <w:pPr>
        <w:spacing w:before="60" w:after="80"/>
      </w:pPr>
      <w:r>
        <w:rPr>
          <w:i/>
          <w:iCs/>
          <w:color w:val="8B2035"/>
        </w:rPr>
        <w:t>[Two-column grid layout on the site. Listed sequentially here.</w:t>
      </w:r>
      <w:r w:rsidR="00207B11">
        <w:rPr>
          <w:i/>
          <w:iCs/>
          <w:color w:val="8B2035"/>
        </w:rPr>
        <w:br/>
        <w:t>OR</w:t>
      </w:r>
      <w:r w:rsidR="00207B11">
        <w:rPr>
          <w:i/>
          <w:iCs/>
          <w:color w:val="8B2035"/>
        </w:rPr>
        <w:br/>
        <w:t>Expanding sandwich style FAQ</w:t>
      </w:r>
      <w:r>
        <w:rPr>
          <w:i/>
          <w:iCs/>
          <w:color w:val="8B2035"/>
        </w:rPr>
        <w:t>]</w:t>
      </w:r>
    </w:p>
    <w:p w14:paraId="1C2F6F8C" w14:textId="77777777" w:rsidR="00837196" w:rsidRDefault="00000000">
      <w:pPr>
        <w:pStyle w:val="Heading3"/>
      </w:pPr>
      <w:r>
        <w:t>What is Med-Arb?</w:t>
      </w:r>
    </w:p>
    <w:p w14:paraId="62D720E1" w14:textId="77777777" w:rsidR="00837196" w:rsidRDefault="00000000">
      <w:pPr>
        <w:spacing w:before="60" w:after="100"/>
      </w:pPr>
      <w:r>
        <w:rPr>
          <w:color w:val="2A3A44"/>
          <w:sz w:val="22"/>
          <w:szCs w:val="22"/>
        </w:rPr>
        <w:t>A hybrid process that begins as a mediation. If the parties reach full settlement, the file closes there. If issues remain, the same neutral transitions into arbitration and delivers a binding written decision. Parties agree to this structure upfront, in writing.</w:t>
      </w:r>
    </w:p>
    <w:p w14:paraId="72153B77" w14:textId="77777777" w:rsidR="00837196" w:rsidRDefault="00000000">
      <w:pPr>
        <w:pStyle w:val="Heading3"/>
      </w:pPr>
      <w:r>
        <w:t>Why use the same person for both roles?</w:t>
      </w:r>
    </w:p>
    <w:p w14:paraId="33973B5E" w14:textId="77777777" w:rsidR="00837196" w:rsidRDefault="00000000">
      <w:pPr>
        <w:spacing w:before="60" w:after="100"/>
      </w:pPr>
      <w:r>
        <w:rPr>
          <w:color w:val="2A3A44"/>
          <w:sz w:val="22"/>
          <w:szCs w:val="22"/>
        </w:rPr>
        <w:t>Continuity. The med-arbitrator already understands the file, the parties, and the issues in dispute. There is no handoff, no duplication of preparation costs, and no loss of context. The transition is seamless.</w:t>
      </w:r>
    </w:p>
    <w:p w14:paraId="4BCD57A5" w14:textId="77777777" w:rsidR="00837196" w:rsidRDefault="00000000">
      <w:pPr>
        <w:pStyle w:val="Heading3"/>
      </w:pPr>
      <w:r>
        <w:t>Is the arbitral decision enforceable?</w:t>
      </w:r>
    </w:p>
    <w:p w14:paraId="1FA82E42" w14:textId="77777777" w:rsidR="00837196" w:rsidRDefault="00000000">
      <w:pPr>
        <w:spacing w:before="60" w:after="100"/>
      </w:pPr>
      <w:r>
        <w:rPr>
          <w:color w:val="2A3A44"/>
          <w:sz w:val="22"/>
          <w:szCs w:val="22"/>
        </w:rPr>
        <w:t>Yes. A med-arb agreement is a binding civil contract. The arbitrator's award is final and can be filed in court. It is not subject to appeal unless the parties have agreed otherwise.</w:t>
      </w:r>
    </w:p>
    <w:p w14:paraId="1203613D" w14:textId="77777777" w:rsidR="00837196" w:rsidRDefault="00000000">
      <w:pPr>
        <w:pStyle w:val="Heading3"/>
      </w:pPr>
      <w:r>
        <w:t>What does it cost compared to litigation?</w:t>
      </w:r>
    </w:p>
    <w:p w14:paraId="26B60AAC" w14:textId="77777777" w:rsidR="00837196" w:rsidRDefault="00000000">
      <w:pPr>
        <w:spacing w:before="60" w:after="100"/>
      </w:pPr>
      <w:r>
        <w:rPr>
          <w:color w:val="2A3A44"/>
          <w:sz w:val="22"/>
          <w:szCs w:val="22"/>
        </w:rPr>
        <w:t>Significantly less. Depending on complexity, total process cost typically ranges from $20,000 to $50,000 across both phases, compared to the six-figure cost of a multi-day trial and the risk of an adverse costs award.</w:t>
      </w:r>
    </w:p>
    <w:p w14:paraId="30C43417" w14:textId="77777777" w:rsidR="00837196" w:rsidRDefault="00000000">
      <w:pPr>
        <w:pStyle w:val="Heading3"/>
      </w:pPr>
      <w:r>
        <w:t>How long does it take?</w:t>
      </w:r>
    </w:p>
    <w:p w14:paraId="720F1465" w14:textId="77777777" w:rsidR="00837196" w:rsidRDefault="00000000">
      <w:pPr>
        <w:spacing w:before="60" w:after="100"/>
      </w:pPr>
      <w:r>
        <w:rPr>
          <w:color w:val="2A3A44"/>
          <w:sz w:val="22"/>
          <w:szCs w:val="22"/>
        </w:rPr>
        <w:t>Most files resolve within three to six months of signing the Med-Arb agreement. Court timelines for a comparable matter in BC currently run three years or longer.</w:t>
      </w:r>
    </w:p>
    <w:p w14:paraId="478E4FD1" w14:textId="77777777" w:rsidR="00837196" w:rsidRDefault="00000000">
      <w:pPr>
        <w:pStyle w:val="Heading3"/>
      </w:pPr>
      <w:r>
        <w:t>What types of disputes is Med-Arb suited for?</w:t>
      </w:r>
    </w:p>
    <w:p w14:paraId="3998D8C5" w14:textId="77777777" w:rsidR="00837196" w:rsidRDefault="00000000">
      <w:pPr>
        <w:spacing w:before="60" w:after="100"/>
      </w:pPr>
      <w:r>
        <w:rPr>
          <w:color w:val="2A3A44"/>
          <w:sz w:val="22"/>
          <w:szCs w:val="22"/>
        </w:rPr>
        <w:t>Any dispute where a binding outcome is needed and court timelines are unacceptable. Common applications include personal injury, estate and wills variation, commercial and shareholder disputes, employment, and sports governance.</w:t>
      </w:r>
    </w:p>
    <w:p w14:paraId="37C0E139" w14:textId="77777777" w:rsidR="00837196" w:rsidRDefault="00000000">
      <w:pPr>
        <w:pStyle w:val="Heading3"/>
      </w:pPr>
      <w:r>
        <w:t>How is procedural fairness protected?</w:t>
      </w:r>
    </w:p>
    <w:p w14:paraId="7D8D1182" w14:textId="77777777" w:rsidR="00837196" w:rsidRDefault="00000000">
      <w:pPr>
        <w:spacing w:before="60" w:after="100"/>
      </w:pPr>
      <w:r>
        <w:rPr>
          <w:color w:val="2A3A44"/>
          <w:sz w:val="22"/>
          <w:szCs w:val="22"/>
        </w:rPr>
        <w:t>Peter addresses this directly at intake. The Med-Arb agreement specifies what information from the mediation phase can and cannot inform the arbitration. Parties with concerns about the single-neutral model can discuss alternatives on the initial call.</w:t>
      </w:r>
    </w:p>
    <w:p w14:paraId="27E5A535" w14:textId="77777777" w:rsidR="00837196" w:rsidRDefault="00000000">
      <w:pPr>
        <w:pStyle w:val="Heading3"/>
      </w:pPr>
      <w:r>
        <w:t>How does Peter handle the pre-mediation process?</w:t>
      </w:r>
    </w:p>
    <w:p w14:paraId="2FFFBB32" w14:textId="77777777" w:rsidR="00837196" w:rsidRDefault="00000000">
      <w:pPr>
        <w:spacing w:before="60" w:after="100"/>
      </w:pPr>
      <w:r>
        <w:rPr>
          <w:color w:val="2A3A44"/>
          <w:sz w:val="22"/>
          <w:szCs w:val="22"/>
        </w:rPr>
        <w:t xml:space="preserve">Peter conducts teleconferences with counsel before every file begins. This gives him a clear picture of what is and is not in the </w:t>
      </w:r>
      <w:proofErr w:type="gramStart"/>
      <w:r>
        <w:rPr>
          <w:color w:val="2A3A44"/>
          <w:sz w:val="22"/>
          <w:szCs w:val="22"/>
        </w:rPr>
        <w:t>brief, and</w:t>
      </w:r>
      <w:proofErr w:type="gramEnd"/>
      <w:r>
        <w:rPr>
          <w:color w:val="2A3A44"/>
          <w:sz w:val="22"/>
          <w:szCs w:val="22"/>
        </w:rPr>
        <w:t xml:space="preserve"> allows him to understand the real issues before anyone is in the room together.</w:t>
      </w:r>
    </w:p>
    <w:p w14:paraId="00BD37F2" w14:textId="77777777" w:rsidR="00837196" w:rsidRDefault="00837196">
      <w:pPr>
        <w:pBdr>
          <w:bottom w:val="single" w:sz="4" w:space="0" w:color="C8C0B4"/>
        </w:pBdr>
        <w:spacing w:before="200" w:after="200"/>
      </w:pPr>
    </w:p>
    <w:p w14:paraId="5D19C1F3" w14:textId="77777777" w:rsidR="00207B11" w:rsidRDefault="00207B11">
      <w:pPr>
        <w:spacing w:before="360" w:after="80"/>
        <w:rPr>
          <w:rFonts w:ascii="Courier New" w:eastAsia="Courier New" w:hAnsi="Courier New" w:cs="Courier New"/>
          <w:b/>
          <w:bCs/>
          <w:color w:val="8B2035"/>
          <w:sz w:val="16"/>
          <w:szCs w:val="16"/>
        </w:rPr>
      </w:pPr>
    </w:p>
    <w:p w14:paraId="7617FD07" w14:textId="4C1502D0" w:rsidR="00837196" w:rsidRDefault="00000000">
      <w:pPr>
        <w:spacing w:before="360" w:after="80"/>
      </w:pPr>
      <w:r>
        <w:rPr>
          <w:rFonts w:ascii="Courier New" w:eastAsia="Courier New" w:hAnsi="Courier New" w:cs="Courier New"/>
          <w:b/>
          <w:bCs/>
          <w:color w:val="8B2035"/>
          <w:sz w:val="16"/>
          <w:szCs w:val="16"/>
        </w:rPr>
        <w:lastRenderedPageBreak/>
        <w:t>SECTION 07 — BOOK A CALL</w:t>
      </w:r>
    </w:p>
    <w:p w14:paraId="1152E5A4" w14:textId="77777777" w:rsidR="00837196" w:rsidRDefault="00000000">
      <w:pPr>
        <w:pStyle w:val="Heading2"/>
      </w:pPr>
      <w:r>
        <w:t>Start the Conversation</w:t>
      </w:r>
    </w:p>
    <w:p w14:paraId="34407967" w14:textId="77777777" w:rsidR="00837196" w:rsidRDefault="00000000">
      <w:pPr>
        <w:spacing w:before="60" w:after="100"/>
      </w:pPr>
      <w:r>
        <w:rPr>
          <w:color w:val="2A3A44"/>
          <w:sz w:val="22"/>
          <w:szCs w:val="22"/>
        </w:rPr>
        <w:t>Peter is available for a complimentary 20-minute intake call to discuss the file, confirm whether the process is a fit, and outline likely fees and timelines.</w:t>
      </w:r>
    </w:p>
    <w:p w14:paraId="287E406F" w14:textId="77777777" w:rsidR="00837196" w:rsidRDefault="00000000">
      <w:pPr>
        <w:spacing w:before="60" w:after="80"/>
      </w:pPr>
      <w:r>
        <w:rPr>
          <w:i/>
          <w:iCs/>
          <w:color w:val="8B2035"/>
        </w:rPr>
        <w:t>[Scheduling widget (calendar booking tool) appears on the right side of this section.]</w:t>
      </w:r>
    </w:p>
    <w:p w14:paraId="0E7A97E7" w14:textId="77777777" w:rsidR="00837196" w:rsidRDefault="00000000">
      <w:pPr>
        <w:spacing w:before="80" w:after="120"/>
      </w:pPr>
      <w:r>
        <w:rPr>
          <w:rFonts w:ascii="Courier New" w:eastAsia="Courier New" w:hAnsi="Courier New" w:cs="Courier New"/>
          <w:color w:val="8B2035"/>
          <w:sz w:val="18"/>
          <w:szCs w:val="18"/>
        </w:rPr>
        <w:t xml:space="preserve">  [BUTTON: Book a Call]  </w:t>
      </w:r>
    </w:p>
    <w:p w14:paraId="10222787" w14:textId="77777777" w:rsidR="00837196" w:rsidRDefault="00000000">
      <w:pPr>
        <w:pStyle w:val="Heading3"/>
      </w:pPr>
      <w:r>
        <w:t>Contact Details</w:t>
      </w:r>
    </w:p>
    <w:p w14:paraId="095318C6" w14:textId="77777777" w:rsidR="00837196" w:rsidRDefault="00000000">
      <w:pPr>
        <w:spacing w:before="60" w:after="100"/>
      </w:pPr>
      <w:r>
        <w:rPr>
          <w:color w:val="2A3A44"/>
          <w:sz w:val="22"/>
          <w:szCs w:val="22"/>
        </w:rPr>
        <w:t>Direct:    604-250-5709</w:t>
      </w:r>
    </w:p>
    <w:p w14:paraId="53EA1648" w14:textId="77777777" w:rsidR="00837196" w:rsidRDefault="00000000">
      <w:pPr>
        <w:spacing w:before="60" w:after="100"/>
      </w:pPr>
      <w:r>
        <w:rPr>
          <w:color w:val="2A3A44"/>
          <w:sz w:val="22"/>
          <w:szCs w:val="22"/>
        </w:rPr>
        <w:t>Email:     peter@buxtonmediation.ca</w:t>
      </w:r>
    </w:p>
    <w:p w14:paraId="5665A464" w14:textId="77777777" w:rsidR="00837196" w:rsidRDefault="00000000">
      <w:pPr>
        <w:spacing w:before="60" w:after="100"/>
      </w:pPr>
      <w:r>
        <w:rPr>
          <w:color w:val="2A3A44"/>
          <w:sz w:val="22"/>
          <w:szCs w:val="22"/>
        </w:rPr>
        <w:t>LinkedIn:  linkedin.com/in/</w:t>
      </w:r>
      <w:proofErr w:type="spellStart"/>
      <w:r>
        <w:rPr>
          <w:color w:val="2A3A44"/>
          <w:sz w:val="22"/>
          <w:szCs w:val="22"/>
        </w:rPr>
        <w:t>pbuxton</w:t>
      </w:r>
      <w:proofErr w:type="spellEnd"/>
    </w:p>
    <w:p w14:paraId="1460812C" w14:textId="77777777" w:rsidR="00837196" w:rsidRDefault="00000000">
      <w:pPr>
        <w:spacing w:before="120" w:after="40"/>
      </w:pPr>
      <w:r>
        <w:rPr>
          <w:b/>
          <w:bCs/>
          <w:color w:val="5A6A74"/>
        </w:rPr>
        <w:t>Scheduling note:</w:t>
      </w:r>
    </w:p>
    <w:p w14:paraId="55483D97" w14:textId="77777777" w:rsidR="00837196" w:rsidRDefault="00000000">
      <w:pPr>
        <w:spacing w:before="60" w:after="100"/>
      </w:pPr>
      <w:r>
        <w:rPr>
          <w:color w:val="2A3A44"/>
          <w:sz w:val="22"/>
          <w:szCs w:val="22"/>
        </w:rPr>
        <w:t>Scheduling and logistics are managed by Peter's coordination team. For scheduling support: 604-492-2690 or info@buxtonmediation.ca</w:t>
      </w:r>
    </w:p>
    <w:p w14:paraId="4F6FA412" w14:textId="77777777" w:rsidR="00837196" w:rsidRDefault="00837196">
      <w:pPr>
        <w:pBdr>
          <w:bottom w:val="single" w:sz="4" w:space="0" w:color="C8C0B4"/>
        </w:pBdr>
        <w:spacing w:before="200" w:after="200"/>
      </w:pPr>
    </w:p>
    <w:p w14:paraId="08F614B1" w14:textId="77777777" w:rsidR="00837196" w:rsidRDefault="00000000">
      <w:pPr>
        <w:spacing w:before="360" w:after="80"/>
      </w:pPr>
      <w:r>
        <w:rPr>
          <w:rFonts w:ascii="Courier New" w:eastAsia="Courier New" w:hAnsi="Courier New" w:cs="Courier New"/>
          <w:b/>
          <w:bCs/>
          <w:color w:val="8B2035"/>
          <w:sz w:val="16"/>
          <w:szCs w:val="16"/>
        </w:rPr>
        <w:t>FOOTER</w:t>
      </w:r>
    </w:p>
    <w:p w14:paraId="63848F15" w14:textId="77777777" w:rsidR="00837196" w:rsidRDefault="00000000">
      <w:pPr>
        <w:pStyle w:val="Heading2"/>
      </w:pPr>
      <w:r>
        <w:t>Footer</w:t>
      </w:r>
    </w:p>
    <w:p w14:paraId="6F720F17" w14:textId="77777777" w:rsidR="00837196" w:rsidRDefault="00000000">
      <w:pPr>
        <w:spacing w:before="60" w:after="100"/>
      </w:pPr>
      <w:r>
        <w:rPr>
          <w:color w:val="2A3A44"/>
          <w:sz w:val="22"/>
          <w:szCs w:val="22"/>
        </w:rPr>
        <w:t>Logo: Buxton ADR (badge mark)</w:t>
      </w:r>
    </w:p>
    <w:p w14:paraId="05B9C5DE" w14:textId="77777777" w:rsidR="00837196" w:rsidRDefault="00000000">
      <w:pPr>
        <w:spacing w:before="60" w:after="100"/>
      </w:pPr>
      <w:r>
        <w:rPr>
          <w:color w:val="2A3A44"/>
          <w:sz w:val="22"/>
          <w:szCs w:val="22"/>
        </w:rPr>
        <w:t xml:space="preserve">Peter Buxton K.C.  </w:t>
      </w:r>
      <w:proofErr w:type="gramStart"/>
      <w:r>
        <w:rPr>
          <w:color w:val="2A3A44"/>
          <w:sz w:val="22"/>
          <w:szCs w:val="22"/>
        </w:rPr>
        <w:t>|  Mediator</w:t>
      </w:r>
      <w:proofErr w:type="gramEnd"/>
      <w:r>
        <w:rPr>
          <w:color w:val="2A3A44"/>
          <w:sz w:val="22"/>
          <w:szCs w:val="22"/>
        </w:rPr>
        <w:t xml:space="preserve"> · Arbitrator · Med-Arb Specialist</w:t>
      </w:r>
    </w:p>
    <w:p w14:paraId="42E88753" w14:textId="77777777" w:rsidR="00837196" w:rsidRDefault="00000000">
      <w:pPr>
        <w:spacing w:before="60" w:after="100"/>
      </w:pPr>
      <w:r>
        <w:rPr>
          <w:color w:val="2A3A44"/>
          <w:sz w:val="22"/>
          <w:szCs w:val="22"/>
        </w:rPr>
        <w:t xml:space="preserve">Member, Mediate BC Civil </w:t>
      </w:r>
      <w:proofErr w:type="gramStart"/>
      <w:r>
        <w:rPr>
          <w:color w:val="2A3A44"/>
          <w:sz w:val="22"/>
          <w:szCs w:val="22"/>
        </w:rPr>
        <w:t>Roster  |</w:t>
      </w:r>
      <w:proofErr w:type="gramEnd"/>
      <w:r>
        <w:rPr>
          <w:color w:val="2A3A44"/>
          <w:sz w:val="22"/>
          <w:szCs w:val="22"/>
        </w:rPr>
        <w:t xml:space="preserve">  Law Society of British Columbia</w:t>
      </w:r>
    </w:p>
    <w:p w14:paraId="6D9C6566" w14:textId="77777777" w:rsidR="00837196" w:rsidRDefault="00000000">
      <w:pPr>
        <w:spacing w:before="60" w:after="100"/>
      </w:pPr>
      <w:r>
        <w:rPr>
          <w:color w:val="2A3A44"/>
          <w:sz w:val="22"/>
          <w:szCs w:val="22"/>
        </w:rPr>
        <w:t>604-250-</w:t>
      </w:r>
      <w:proofErr w:type="gramStart"/>
      <w:r>
        <w:rPr>
          <w:color w:val="2A3A44"/>
          <w:sz w:val="22"/>
          <w:szCs w:val="22"/>
        </w:rPr>
        <w:t>5709  |</w:t>
      </w:r>
      <w:proofErr w:type="gramEnd"/>
      <w:r>
        <w:rPr>
          <w:color w:val="2A3A44"/>
          <w:sz w:val="22"/>
          <w:szCs w:val="22"/>
        </w:rPr>
        <w:t xml:space="preserve">  peter@buxtonmediation.ca</w:t>
      </w:r>
    </w:p>
    <w:p w14:paraId="23EAE9A0" w14:textId="77777777" w:rsidR="00837196" w:rsidRDefault="00000000">
      <w:pPr>
        <w:spacing w:before="60" w:after="100"/>
      </w:pPr>
      <w:r>
        <w:rPr>
          <w:color w:val="2A3A44"/>
          <w:sz w:val="22"/>
          <w:szCs w:val="22"/>
        </w:rPr>
        <w:t xml:space="preserve">Nav links: </w:t>
      </w:r>
      <w:proofErr w:type="gramStart"/>
      <w:r>
        <w:rPr>
          <w:color w:val="2A3A44"/>
          <w:sz w:val="22"/>
          <w:szCs w:val="22"/>
        </w:rPr>
        <w:t>Practice  |</w:t>
      </w:r>
      <w:proofErr w:type="gramEnd"/>
      <w:r>
        <w:rPr>
          <w:color w:val="2A3A44"/>
          <w:sz w:val="22"/>
          <w:szCs w:val="22"/>
        </w:rPr>
        <w:t xml:space="preserve">  </w:t>
      </w:r>
      <w:proofErr w:type="gramStart"/>
      <w:r>
        <w:rPr>
          <w:color w:val="2A3A44"/>
          <w:sz w:val="22"/>
          <w:szCs w:val="22"/>
        </w:rPr>
        <w:t>About  |</w:t>
      </w:r>
      <w:proofErr w:type="gramEnd"/>
      <w:r>
        <w:rPr>
          <w:color w:val="2A3A44"/>
          <w:sz w:val="22"/>
          <w:szCs w:val="22"/>
        </w:rPr>
        <w:t xml:space="preserve">  Med-</w:t>
      </w:r>
      <w:proofErr w:type="gramStart"/>
      <w:r>
        <w:rPr>
          <w:color w:val="2A3A44"/>
          <w:sz w:val="22"/>
          <w:szCs w:val="22"/>
        </w:rPr>
        <w:t>Arb  |</w:t>
      </w:r>
      <w:proofErr w:type="gramEnd"/>
      <w:r>
        <w:rPr>
          <w:color w:val="2A3A44"/>
          <w:sz w:val="22"/>
          <w:szCs w:val="22"/>
        </w:rPr>
        <w:t xml:space="preserve">  Book a Call</w:t>
      </w:r>
    </w:p>
    <w:p w14:paraId="06116470" w14:textId="77777777" w:rsidR="00837196" w:rsidRDefault="00000000">
      <w:pPr>
        <w:spacing w:before="60" w:after="100"/>
      </w:pPr>
      <w:r>
        <w:rPr>
          <w:color w:val="2A3A44"/>
          <w:sz w:val="22"/>
          <w:szCs w:val="22"/>
        </w:rPr>
        <w:t xml:space="preserve">© 2026 Peter Buxton K.C. Personal Law </w:t>
      </w:r>
      <w:proofErr w:type="gramStart"/>
      <w:r>
        <w:rPr>
          <w:color w:val="2A3A44"/>
          <w:sz w:val="22"/>
          <w:szCs w:val="22"/>
        </w:rPr>
        <w:t>Corporation  |</w:t>
      </w:r>
      <w:proofErr w:type="gramEnd"/>
      <w:r>
        <w:rPr>
          <w:color w:val="2A3A44"/>
          <w:sz w:val="22"/>
          <w:szCs w:val="22"/>
        </w:rPr>
        <w:t xml:space="preserve">  buxtonadr.ca</w:t>
      </w:r>
    </w:p>
    <w:p w14:paraId="6446D0D6" w14:textId="77777777" w:rsidR="00837196" w:rsidRDefault="00000000">
      <w:pPr>
        <w:spacing w:before="60" w:after="80"/>
      </w:pPr>
      <w:r>
        <w:rPr>
          <w:i/>
          <w:iCs/>
          <w:color w:val="8B2035"/>
        </w:rPr>
        <w:t>[Privacy and Terms links to be added once pages are drafted]</w:t>
      </w:r>
    </w:p>
    <w:sectPr w:rsidR="008371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ED1C14"/>
    <w:multiLevelType w:val="hybridMultilevel"/>
    <w:tmpl w:val="1D84B830"/>
    <w:lvl w:ilvl="0" w:tplc="C0F4CD16">
      <w:start w:val="1"/>
      <w:numFmt w:val="bullet"/>
      <w:lvlText w:val="●"/>
      <w:lvlJc w:val="left"/>
      <w:pPr>
        <w:ind w:left="720" w:hanging="360"/>
      </w:pPr>
    </w:lvl>
    <w:lvl w:ilvl="1" w:tplc="71763246">
      <w:start w:val="1"/>
      <w:numFmt w:val="bullet"/>
      <w:lvlText w:val="○"/>
      <w:lvlJc w:val="left"/>
      <w:pPr>
        <w:ind w:left="1440" w:hanging="360"/>
      </w:pPr>
    </w:lvl>
    <w:lvl w:ilvl="2" w:tplc="29308592">
      <w:start w:val="1"/>
      <w:numFmt w:val="bullet"/>
      <w:lvlText w:val="■"/>
      <w:lvlJc w:val="left"/>
      <w:pPr>
        <w:ind w:left="2160" w:hanging="360"/>
      </w:pPr>
    </w:lvl>
    <w:lvl w:ilvl="3" w:tplc="AE6C0FA2">
      <w:start w:val="1"/>
      <w:numFmt w:val="bullet"/>
      <w:lvlText w:val="●"/>
      <w:lvlJc w:val="left"/>
      <w:pPr>
        <w:ind w:left="2880" w:hanging="360"/>
      </w:pPr>
    </w:lvl>
    <w:lvl w:ilvl="4" w:tplc="2EB09B76">
      <w:start w:val="1"/>
      <w:numFmt w:val="bullet"/>
      <w:lvlText w:val="○"/>
      <w:lvlJc w:val="left"/>
      <w:pPr>
        <w:ind w:left="3600" w:hanging="360"/>
      </w:pPr>
    </w:lvl>
    <w:lvl w:ilvl="5" w:tplc="6A581B90">
      <w:start w:val="1"/>
      <w:numFmt w:val="bullet"/>
      <w:lvlText w:val="■"/>
      <w:lvlJc w:val="left"/>
      <w:pPr>
        <w:ind w:left="4320" w:hanging="360"/>
      </w:pPr>
    </w:lvl>
    <w:lvl w:ilvl="6" w:tplc="DE9CB176">
      <w:start w:val="1"/>
      <w:numFmt w:val="bullet"/>
      <w:lvlText w:val="●"/>
      <w:lvlJc w:val="left"/>
      <w:pPr>
        <w:ind w:left="5040" w:hanging="360"/>
      </w:pPr>
    </w:lvl>
    <w:lvl w:ilvl="7" w:tplc="7C900D94">
      <w:start w:val="1"/>
      <w:numFmt w:val="bullet"/>
      <w:lvlText w:val="●"/>
      <w:lvlJc w:val="left"/>
      <w:pPr>
        <w:ind w:left="5760" w:hanging="360"/>
      </w:pPr>
    </w:lvl>
    <w:lvl w:ilvl="8" w:tplc="354E825A">
      <w:start w:val="1"/>
      <w:numFmt w:val="bullet"/>
      <w:lvlText w:val="●"/>
      <w:lvlJc w:val="left"/>
      <w:pPr>
        <w:ind w:left="6480" w:hanging="360"/>
      </w:pPr>
    </w:lvl>
  </w:abstractNum>
  <w:num w:numId="1" w16cid:durableId="6561495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196"/>
    <w:rsid w:val="00207B11"/>
    <w:rsid w:val="007D2E83"/>
    <w:rsid w:val="008371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CCB94F"/>
  <w15:docId w15:val="{859BEA5F-B418-6E49-BECB-1ED54D8C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Georgia" w:eastAsia="Georgia" w:hAnsi="Georgia" w:cs="Georgia"/>
      <w:b/>
      <w:bCs/>
      <w:color w:val="1E2D3D"/>
      <w:sz w:val="40"/>
      <w:szCs w:val="40"/>
    </w:rPr>
  </w:style>
  <w:style w:type="paragraph" w:styleId="Heading2">
    <w:name w:val="heading 2"/>
    <w:uiPriority w:val="9"/>
    <w:unhideWhenUsed/>
    <w:qFormat/>
    <w:pPr>
      <w:spacing w:before="240" w:after="100"/>
      <w:outlineLvl w:val="1"/>
    </w:pPr>
    <w:rPr>
      <w:rFonts w:ascii="Georgia" w:eastAsia="Georgia" w:hAnsi="Georgia" w:cs="Georgia"/>
      <w:b/>
      <w:bCs/>
      <w:color w:val="1E2D3D"/>
      <w:sz w:val="28"/>
      <w:szCs w:val="28"/>
    </w:rPr>
  </w:style>
  <w:style w:type="paragraph" w:styleId="Heading3">
    <w:name w:val="heading 3"/>
    <w:uiPriority w:val="9"/>
    <w:unhideWhenUsed/>
    <w:qFormat/>
    <w:pPr>
      <w:spacing w:before="200" w:after="80"/>
      <w:outlineLvl w:val="2"/>
    </w:pPr>
    <w:rPr>
      <w:rFonts w:ascii="Georgia" w:eastAsia="Georgia" w:hAnsi="Georgia" w:cs="Georgia"/>
      <w:b/>
      <w:bCs/>
      <w:color w:val="1E2D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1263</Words>
  <Characters>6825</Characters>
  <Application>Microsoft Office Word</Application>
  <DocSecurity>0</DocSecurity>
  <Lines>158</Lines>
  <Paragraphs>128</Paragraphs>
  <ScaleCrop>false</ScaleCrop>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Arruda</cp:lastModifiedBy>
  <cp:revision>2</cp:revision>
  <dcterms:created xsi:type="dcterms:W3CDTF">2026-07-13T16:40:00Z</dcterms:created>
  <dcterms:modified xsi:type="dcterms:W3CDTF">2026-07-13T16:49:00Z</dcterms:modified>
</cp:coreProperties>
</file>