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before="2000"/>
        <w:jc w:val="center"/>
      </w:pPr>
      <w:r>
        <w:rPr>
          <w:b/>
          <w:bCs/>
          <w:color w:val="1F3864"/>
          <w:sz w:val="48"/>
          <w:szCs w:val="48"/>
        </w:rPr>
        <w:t xml:space="preserve">Figurennamen — Baekje ~650 AD</w:t>
      </w:r>
    </w:p>
    <w:p>
      <w:pPr>
        <w:spacing w:after="160"/>
        <w:jc w:val="center"/>
      </w:pPr>
      <w:r>
        <w:rPr>
          <w:i/>
          <w:iCs/>
          <w:color w:val="2E4057"/>
          <w:sz w:val="28"/>
          <w:szCs w:val="28"/>
        </w:rPr>
        <w:t xml:space="preserve">Dobneun Son — Die Helfenden Hände</w:t>
      </w:r>
    </w:p>
    <w:p>
      <w:pPr>
        <w:spacing w:after="120"/>
        <w:jc w:val="center"/>
      </w:pPr>
      <w:r>
        <w:rPr>
          <w:color w:val="666666"/>
          <w:sz w:val="22"/>
          <w:szCs w:val="22"/>
        </w:rPr>
        <w:t xml:space="preserve">H.S. »Daily« McAllan</w:t>
      </w:r>
    </w:p>
    <w:p>
      <w:pPr>
        <w:jc w:val="center"/>
      </w:pPr>
      <w:r>
        <w:rPr>
          <w:color w:val="888888"/>
          <w:sz w:val="18"/>
          <w:szCs w:val="18"/>
        </w:rPr>
        <w:t xml:space="preserve">Stand: 16. Juli 2026</w:t>
      </w:r>
    </w:p>
    <w:p>
      <w:r>
        <w:br w:type="page"/>
      </w:r>
    </w:p>
    <w:p>
      <w:pPr>
        <w:pStyle w:val="Heading1"/>
      </w:pPr>
      <w:r>
        <w:t xml:space="preserve">NOTIZ — Figurennamen: Die vier Kaufleute (Baekje, ~650 AD)</w:t>
      </w:r>
    </w:p>
    <w:p/>
    <w:p>
      <w:r>
        <w:rPr>
          <w:i/>
          <w:iCs/>
        </w:rPr>
        <w:t xml:space="preserve">Stand: 16. Juli 2026</w:t>
      </w:r>
    </w:p>
    <w:p/>
    <w:p>
      <w:pPr>
        <w:pBdr>
          <w:bottom w:val="single" w:color="999999" w:sz="4" w:space="4"/>
        </w:pBdr>
        <w:spacing w:after="160" w:before="80"/>
      </w:pPr>
    </w:p>
    <w:p/>
    <w:p>
      <w:pPr>
        <w:pStyle w:val="Heading2"/>
      </w:pPr>
      <w:r>
        <w:t xml:space="preserve">Grundlage</w:t>
      </w:r>
    </w:p>
    <w:p/>
    <w:p>
      <w:r>
        <w:t xml:space="preserve">Bürgerliche Kaufleute trugen um 650 AD in Baekje höchstwahrscheinlich:</w:t>
      </w:r>
    </w:p>
    <w:p>
      <w:pPr>
        <w:pStyle w:val="ListParagraph"/>
        <w:numPr>
          <w:ilvl w:val="0"/>
          <w:numId w:val="2"/>
        </w:numPr>
      </w:pPr>
      <w:r>
        <w:rPr>
          <w:b/>
          <w:bCs/>
        </w:rPr>
        <w:t xml:space="preserve">Keinen Familiennamen</w:t>
      </w:r>
      <w:r>
        <w:t xml:space="preserve"> — Familiennamen waren bis weit in die Goryeo-Zeit (ab 935 AD) dem Königtum und Adel vorbehalten</w:t>
      </w:r>
    </w:p>
    <w:p>
      <w:pPr>
        <w:pStyle w:val="ListParagraph"/>
        <w:numPr>
          <w:ilvl w:val="0"/>
          <w:numId w:val="2"/>
        </w:numPr>
      </w:pPr>
      <w:r>
        <w:rPr>
          <w:b/>
          <w:bCs/>
        </w:rPr>
        <w:t xml:space="preserve">Einfache Eigennamen in Altkoreanisch</w:t>
      </w:r>
      <w:r>
        <w:t xml:space="preserve"> — kein Hanja-System im modernen Sinne; Schriftzeichen wurden für ihren Lautwert verwendet, nicht ihre Bedeutung</w:t>
      </w:r>
    </w:p>
    <w:p/>
    <w:p>
      <w:r>
        <w:t xml:space="preserve">Berufsbezogene Bezeichnungen sind für diese Epoche die historisch plausibelste Lösung. Das entspricht einem verbreiteten Namensprinzip der Antike in ganz Eurasien.</w:t>
      </w:r>
    </w:p>
    <w:p/>
    <w:p>
      <w:pPr>
        <w:pBdr>
          <w:bottom w:val="single" w:color="999999" w:sz="4" w:space="4"/>
        </w:pBdr>
        <w:spacing w:after="160" w:before="80"/>
      </w:pPr>
    </w:p>
    <w:p/>
    <w:p>
      <w:pPr>
        <w:pStyle w:val="Heading2"/>
      </w:pPr>
      <w:r>
        <w:t xml:space="preserve">Die vier Kaufleute — Namen und Funktionen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784"/>
        <w:gridCol w:w="1784"/>
        <w:gridCol w:w="1784"/>
        <w:gridCol w:w="1784"/>
        <w:gridCol w:w="1784"/>
      </w:tblGrid>
      <w:tr>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Figur</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Funktion</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Koreanisches Wort</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Bedeutung</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Erzählerischer Name</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Kaufmann 1</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Reeder / Schiffseigner</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배 (Bae)</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Boot, Schiff</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Bae</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Kaufmann 2</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Tonwarenhändler</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질 (Jil)</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Ton, Lehm</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Jil</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Kaufmann 3</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Mineralienhändler</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돌 (Dol)</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Stein</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Dol</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Kaufmann 4</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Zwischenhändler</w:t>
            </w:r>
            <w:r>
              <w:rPr>
                <w:sz w:val="18"/>
                <w:szCs w:val="18"/>
              </w:rPr>
              <w:t xml:space="preserve"> (königstreu)</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가운 (Gaun)</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Mitte, dazwischen</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Gaun</w:t>
            </w:r>
          </w:p>
        </w:tc>
      </w:tr>
    </w:tbl>
    <w:p/>
    <w:p/>
    <w:p>
      <w:pPr>
        <w:pBdr>
          <w:bottom w:val="single" w:color="999999" w:sz="4" w:space="4"/>
        </w:pBdr>
        <w:spacing w:after="160" w:before="80"/>
      </w:pPr>
    </w:p>
    <w:p/>
    <w:p>
      <w:pPr>
        <w:pStyle w:val="Heading2"/>
      </w:pPr>
      <w:r>
        <w:t xml:space="preserve">Erläuterungen</w:t>
      </w:r>
    </w:p>
    <w:p/>
    <w:p>
      <w:pPr>
        <w:pStyle w:val="Heading3"/>
      </w:pPr>
      <w:r>
        <w:t xml:space="preserve">Bae — der Reeder</w:t>
      </w:r>
    </w:p>
    <w:p>
      <w:r>
        <w:t xml:space="preserve">배 (Bae) ist das altkoreanische Grundwort für "Boot/Schiff", das bis heute unverändert existiert. Als Schiffseigner und technischer Kopf hinter dem Seitenschwert-Boot ist er die Schlüsselfigur. Er kennt die See, die Routen, die Gezeiten.</w:t>
      </w:r>
    </w:p>
    <w:p/>
    <w:p>
      <w:pPr>
        <w:pStyle w:val="Heading3"/>
      </w:pPr>
      <w:r>
        <w:t xml:space="preserve">Jil — der Töpfer/Tonwarenhändler</w:t>
      </w:r>
    </w:p>
    <w:p>
      <w:r>
        <w:t xml:space="preserve">질 (Jil) bedeutet "Ton" oder "Lehm" — Grundmaterial der Keramik. Tonwaren (Keramik) waren eines der wichtigsten Handelsprodukte Baekjes, das für seine hochwertige Keramik-Tradition bekannt war (Baekje-Keramik beeinflusste auch die japanische Töpferkunst). Jil ist der pragmatische Händler, der Allianzen schließt.</w:t>
      </w:r>
    </w:p>
    <w:p/>
    <w:p>
      <w:pPr>
        <w:pStyle w:val="Heading3"/>
      </w:pPr>
      <w:r>
        <w:t xml:space="preserve">Dol — der Mineralienhändler</w:t>
      </w:r>
    </w:p>
    <w:p>
      <w:r>
        <w:t xml:space="preserve">돌 (Dol) bedeutet "Stein" — sowohl als Naturstein als auch als Edelstein/Mineral. Mineralien (Jade, Bergkristall, Eisenerz) waren wertvolle Handelsgüter. "Dol" war bereits als historisch plausibler altkoreanischer Eigenname in der Korea-650-AD-Notiz dokumentiert.</w:t>
      </w:r>
    </w:p>
    <w:p/>
    <w:p>
      <w:pPr>
        <w:pStyle w:val="Heading3"/>
      </w:pPr>
      <w:r>
        <w:t xml:space="preserve">Gaun — der Zwischenhändler (der vierte, königstreue Kaufmann)</w:t>
      </w:r>
    </w:p>
    <w:p>
      <w:r>
        <w:t xml:space="preserve">가운 (Gaun) ist die Kurzform von 가운데 ("Mitte", "dazwischen") — für jemanden, der zwischen den Parteien vermittelt, Geschäfte arrangiert, Kontakte pflegt. Der Zwischenhändler kennt alle — und berichtet dem König.</w:t>
      </w:r>
    </w:p>
    <w:p/>
    <w:p>
      <w:r>
        <w:rPr>
          <w:b/>
          <w:bCs/>
        </w:rPr>
        <w:t xml:space="preserve">Adelsnamen-Option für Gaun:</w:t>
      </w:r>
      <w:r>
        <w:t xml:space="preserve"> Falls dramaturgisch gewünscht, kann Gaun zusätzlich einen Baekje-Adelsnamen tragen:</w:t>
      </w:r>
    </w:p>
    <w:p>
      <w:pPr>
        <w:pStyle w:val="ListParagraph"/>
        <w:numPr>
          <w:ilvl w:val="0"/>
          <w:numId w:val="2"/>
        </w:numPr>
      </w:pPr>
      <w:r>
        <w:rPr>
          <w:b/>
          <w:bCs/>
        </w:rPr>
        <w:t xml:space="preserve">Mok Gaun</w:t>
      </w:r>
      <w:r>
        <w:t xml:space="preserve"> (목 가운) — Mok-Klan, reale Generalsfamilie</w:t>
      </w:r>
    </w:p>
    <w:p>
      <w:pPr>
        <w:pStyle w:val="ListParagraph"/>
        <w:numPr>
          <w:ilvl w:val="0"/>
          <w:numId w:val="2"/>
        </w:numPr>
      </w:pPr>
      <w:r>
        <w:rPr>
          <w:b/>
          <w:bCs/>
        </w:rPr>
        <w:t xml:space="preserve">Sa Gaun</w:t>
      </w:r>
      <w:r>
        <w:t xml:space="preserve"> (사 가운) — Sataek-Klan, mächtigster Hofklan</w:t>
      </w:r>
    </w:p>
    <w:p/>
    <w:p>
      <w:pPr>
        <w:pBdr>
          <w:bottom w:val="single" w:color="999999" w:sz="4" w:space="4"/>
        </w:pBdr>
        <w:spacing w:after="160" w:before="80"/>
      </w:pPr>
    </w:p>
    <w:p/>
    <w:p>
      <w:pPr>
        <w:pStyle w:val="Heading2"/>
      </w:pPr>
      <w:r>
        <w:t xml:space="preserve">⚠ WICHTIGER HINWEIS</w:t>
      </w:r>
    </w:p>
    <w:p/>
    <w:p>
      <w:r>
        <w:rPr>
          <w:b/>
          <w:bCs/>
        </w:rPr>
        <w:t xml:space="preserve">Der Name "Kim" darf NICHT für den vierten Kaufmann in der 650-AD-Handlung verwendet werden.</w:t>
      </w:r>
    </w:p>
    <w:p/>
    <w:p>
      <w:r>
        <w:t xml:space="preserve">Kim ist ein Silla-Adelsname (erstmals dokumentiert 636 AD), nicht Baekje. Eine etwaige Verbindung zur modernen Kim-Dynastie Nordkoreas wird als spätere Stufe der Handlung eingeführt — ein Nachfahre nimmt den Namen erst nach 660 AD aus Opportunismus an.</w:t>
      </w:r>
    </w:p>
    <w:p/>
    <w:p>
      <w:r>
        <w:t xml:space="preserve">Vollständige Begründung: Notiz_Kapitel_Korea_650AD.md und Notiz_Yin_und_Yang.md.</w:t>
      </w:r>
    </w:p>
    <w:p/>
    <w:p>
      <w:pPr>
        <w:pBdr>
          <w:bottom w:val="single" w:color="999999" w:sz="4" w:space="4"/>
        </w:pBdr>
        <w:spacing w:after="160" w:before="80"/>
      </w:pPr>
    </w:p>
    <w:p/>
    <w:p>
      <w:pPr>
        <w:pStyle w:val="Heading2"/>
      </w:pPr>
      <w:r>
        <w:t xml:space="preserve">Historische Einschätzung</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2973"/>
        <w:gridCol w:w="2973"/>
        <w:gridCol w:w="2973"/>
      </w:tblGrid>
      <w:tr>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Name</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Historische Basis</w:t>
            </w:r>
          </w:p>
        </w:tc>
        <w:tc>
          <w:tcPr>
            <w:tcW w:type="dxa" w:w="2973"/>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Sicherheit</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Bae</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Altkoreanisches Grundwort, bis heute unverändert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Sehr sicher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Jil</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Altkoreanisches Grundwort, gut belegt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Sehr sicher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Dol</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Altkoreanisches Grundwort, bis heute unverändert</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Sehr sicher</w:t>
            </w:r>
          </w:p>
        </w:tc>
      </w:tr>
      <w:tr>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Gaun</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Altkoreanisches Wort, plausibel für 7. Jh.</w:t>
            </w:r>
          </w:p>
        </w:tc>
        <w:tc>
          <w:tcPr>
            <w:tcW w:type="dxa" w:w="2973"/>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Plausibel, nicht direkt belegt</w:t>
            </w:r>
          </w:p>
        </w:tc>
      </w:tr>
    </w:tbl>
    <w:p/>
    <w:p/>
    <w:p>
      <w:r>
        <w:t xml:space="preserve">Bae, Jil und Dol sind echte koreanische Wörter aus dem Grundwortschatz, mit hoher Wahrscheinlichkeit in dieser oder ähnlicher Form im 7. Jahrhundert verwendet. Gaun ist als Stilentscheidung für die Erzählung sauber begründbar, aber ohne direkten Quellenbeleg für 650 AD.</w:t>
      </w:r>
    </w:p>
    <w:p/>
    <w:p>
      <w:pPr>
        <w:pBdr>
          <w:bottom w:val="single" w:color="999999" w:sz="4" w:space="4"/>
        </w:pBdr>
        <w:spacing w:after="160" w:before="80"/>
      </w:pPr>
    </w:p>
    <w:p/>
    <w:p>
      <w:r>
        <w:rPr>
          <w:i/>
          <w:iCs/>
        </w:rPr>
        <w:t xml:space="preserve">Quellen: Notiz_Kapitel_Korea_650AD.md (Namenskorrektur-Abschnitt) / Notiz_Yin_und_Yang.md (Mok/Sa-Klan)</w:t>
      </w:r>
    </w:p>
    <w:p/>
    <w:p>
      <w:pPr>
        <w:pBdr>
          <w:bottom w:val="single" w:color="999999" w:sz="4" w:space="4"/>
        </w:pBdr>
        <w:spacing w:after="160" w:before="80"/>
      </w:pPr>
    </w:p>
    <w:p/>
    <w:p>
      <w:pPr>
        <w:pStyle w:val="Heading2"/>
      </w:pPr>
      <w:r>
        <w:t xml:space="preserve">Zwei weitere Figuren — historisch belegte Baekje-Namen</w:t>
      </w:r>
    </w:p>
    <w:p/>
    <w:p>
      <w:pPr>
        <w:pStyle w:val="Heading3"/>
      </w:pPr>
      <w:r>
        <w:t xml:space="preserve">Feldmarschall "Großer Held": Gyebaek (계백, 階伯)</w:t>
      </w:r>
    </w:p>
    <w:p/>
    <w:p>
      <w:r>
        <w:t xml:space="preserve">✅ </w:t>
      </w:r>
      <w:r>
        <w:rPr>
          <w:b/>
          <w:bCs/>
        </w:rPr>
        <w:t xml:space="preserve">Real existierende historische Person</w:t>
      </w:r>
      <w:r>
        <w:t xml:space="preserve"> — Baekje, General, gestorben 660 AD</w:t>
      </w:r>
    </w:p>
    <w:p/>
    <w:p>
      <w:r>
        <w:rPr>
          <w:b/>
          <w:bCs/>
        </w:rPr>
        <w:t xml:space="preserve">Hanja-Bedeutung:</w:t>
      </w:r>
    </w:p>
    <w:p>
      <w:pPr>
        <w:pStyle w:val="ListParagraph"/>
        <w:numPr>
          <w:ilvl w:val="0"/>
          <w:numId w:val="2"/>
        </w:numPr>
      </w:pPr>
      <w:r>
        <w:t xml:space="preserve">階 (Gye) = "Stufe, Rang, aufsteigen"</w:t>
      </w:r>
    </w:p>
    <w:p>
      <w:pPr>
        <w:pStyle w:val="ListParagraph"/>
        <w:numPr>
          <w:ilvl w:val="0"/>
          <w:numId w:val="2"/>
        </w:numPr>
      </w:pPr>
      <w:r>
        <w:t xml:space="preserve">伯 (Baek) = "Ältester, Anführer, Erster"</w:t>
      </w:r>
    </w:p>
    <w:p>
      <w:pPr>
        <w:pStyle w:val="ListParagraph"/>
        <w:numPr>
          <w:ilvl w:val="0"/>
          <w:numId w:val="2"/>
        </w:numPr>
      </w:pPr>
      <w:r>
        <w:t xml:space="preserve">Zusammen: </w:t>
      </w:r>
      <w:r>
        <w:rPr>
          <w:b/>
          <w:bCs/>
        </w:rPr>
        <w:t xml:space="preserve">"Ranghöchster Anführer"</w:t>
      </w:r>
      <w:r>
        <w:t xml:space="preserve"> / "Erster Held"</w:t>
      </w:r>
    </w:p>
    <w:p/>
    <w:p>
      <w:r>
        <w:rPr>
          <w:b/>
          <w:bCs/>
        </w:rPr>
        <w:t xml:space="preserve">Historisch:</w:t>
      </w:r>
      <w:r>
        <w:t xml:space="preserve"> Gyebaek führte 660 AD 5.000 Selbstmordkämpfer gegen 50.000 Silla-Truppen in der Schlacht von Hwangsanbeol — vergleichbar mit König Leonidas bei den Thermopylen. Vor der Schlacht tötete er seine eigene Familie, um sie vor Versklavung zu bewahren. Er fiel in der letzten Verteidigung Baekjes.</w:t>
      </w:r>
    </w:p>
    <w:p/>
    <w:p>
      <w:r>
        <w:rPr>
          <w:b/>
          <w:bCs/>
        </w:rPr>
        <w:t xml:space="preserve">Für den Roman:</w:t>
      </w:r>
      <w:r>
        <w:t xml:space="preserve"> Da deine Figur ~650 AD aktiv ist und Gyebaek 660 AD starb, gibt es keinen Zeitkonflikt. Der Name kann direkt verwendet werden — er ist der bekannteste Baekje-General und trägt bereits die gewünschte Bedeutungsebene.</w:t>
      </w:r>
    </w:p>
    <w:p/>
    <w:p>
      <w:pPr>
        <w:pBdr>
          <w:bottom w:val="single" w:color="999999" w:sz="4" w:space="4"/>
        </w:pBdr>
        <w:spacing w:after="160" w:before="80"/>
      </w:pPr>
    </w:p>
    <w:p/>
    <w:p>
      <w:pPr>
        <w:pStyle w:val="Heading3"/>
      </w:pPr>
      <w:r>
        <w:t xml:space="preserve">Wesir "Vorsichtig" (Berater/Finanzminister): Seongchung (성충, 成忠)</w:t>
      </w:r>
    </w:p>
    <w:p/>
    <w:p>
      <w:r>
        <w:t xml:space="preserve">✅ </w:t>
      </w:r>
      <w:r>
        <w:rPr>
          <w:b/>
          <w:bCs/>
        </w:rPr>
        <w:t xml:space="preserve">Real existierende historische Person</w:t>
      </w:r>
      <w:r>
        <w:t xml:space="preserve"> — Baekje, Hofbeamter, gestorben 656 AD</w:t>
      </w:r>
    </w:p>
    <w:p/>
    <w:p>
      <w:r>
        <w:rPr>
          <w:b/>
          <w:bCs/>
        </w:rPr>
        <w:t xml:space="preserve">Hanja-Bedeutung:</w:t>
      </w:r>
    </w:p>
    <w:p>
      <w:pPr>
        <w:pStyle w:val="ListParagraph"/>
        <w:numPr>
          <w:ilvl w:val="0"/>
          <w:numId w:val="2"/>
        </w:numPr>
      </w:pPr>
      <w:r>
        <w:t xml:space="preserve">成 (Seong) = "vollenden, erfolgreich, gelingen"</w:t>
      </w:r>
    </w:p>
    <w:p>
      <w:pPr>
        <w:pStyle w:val="ListParagraph"/>
        <w:numPr>
          <w:ilvl w:val="0"/>
          <w:numId w:val="2"/>
        </w:numPr>
      </w:pPr>
      <w:r>
        <w:t xml:space="preserve">忠 (Chung) = "treu, gewissenhaft, aufrichtig, vorsichtig"</w:t>
      </w:r>
    </w:p>
    <w:p>
      <w:pPr>
        <w:pStyle w:val="ListParagraph"/>
        <w:numPr>
          <w:ilvl w:val="0"/>
          <w:numId w:val="2"/>
        </w:numPr>
      </w:pPr>
      <w:r>
        <w:t xml:space="preserve">Zusammen: </w:t>
      </w:r>
      <w:r>
        <w:rPr>
          <w:b/>
          <w:bCs/>
        </w:rPr>
        <w:t xml:space="preserve">"Erfolgreich und gewissenhaft"</w:t>
      </w:r>
    </w:p>
    <w:p/>
    <w:p>
      <w:r>
        <w:rPr>
          <w:b/>
          <w:bCs/>
        </w:rPr>
        <w:t xml:space="preserve">Historisch:</w:t>
      </w:r>
      <w:r>
        <w:t xml:space="preserve"> Seongchung war der wichtigste Berater König Uijas. Er mahnte den König wiederholt zur Vorsicht — und wurde 656 AD dafür eingesperrt. Er starb im Gefängnis. Der Name trägt die Bedeutung eines bedachtsamen, loyalen Ministers — exakt das Konzept "Vorsichtig".</w:t>
      </w:r>
    </w:p>
    <w:p/>
    <w:p>
      <w:r>
        <w:rPr>
          <w:b/>
          <w:bCs/>
        </w:rPr>
        <w:t xml:space="preserve">Für den Roman:</w:t>
      </w:r>
      <w:r>
        <w:t xml:space="preserve"> Seongchung war 650 AD noch am Hof aktiv (er starb erst 656). Er könnte also eine direkte Nebenfigur sein, die die Kaufleute kennen oder von der sie wissen.</w:t>
      </w:r>
    </w:p>
    <w:p/>
    <w:p>
      <w:pPr>
        <w:pBdr>
          <w:bottom w:val="single" w:color="999999" w:sz="4" w:space="4"/>
        </w:pBdr>
        <w:spacing w:after="160" w:before="80"/>
      </w:pPr>
    </w:p>
    <w:p/>
    <w:p>
      <w:pPr>
        <w:pStyle w:val="Heading3"/>
      </w:pPr>
      <w:r>
        <w:t xml:space="preserve">Zusammenfassung aller Figuren</w:t>
      </w:r>
    </w:p>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784"/>
        <w:gridCol w:w="1784"/>
        <w:gridCol w:w="1784"/>
        <w:gridCol w:w="1784"/>
        <w:gridCol w:w="1784"/>
      </w:tblGrid>
      <w:tr>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Figur</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Name</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Hanja</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Bedeutung</w:t>
            </w:r>
          </w:p>
        </w:tc>
        <w:tc>
          <w:tcPr>
            <w:tcW w:type="dxa" w:w="1784"/>
            <w:tcBorders>
              <w:top w:val="single" w:color="CCCCCC" w:sz="2"/>
              <w:left w:val="single" w:color="CCCCCC" w:sz="2"/>
              <w:bottom w:val="single" w:color="CCCCCC" w:sz="2"/>
              <w:right w:val="single" w:color="CCCCCC" w:sz="2"/>
            </w:tcBorders>
            <w:shd w:fill="1F3864" w:val="clear"/>
            <w:tcMar>
              <w:top w:type="dxa" w:w="50"/>
              <w:left w:type="dxa" w:w="80"/>
              <w:bottom w:type="dxa" w:w="50"/>
              <w:right w:type="dxa" w:w="80"/>
            </w:tcMar>
          </w:tcPr>
          <w:p>
            <w:r>
              <w:rPr>
                <w:b/>
                <w:bCs/>
                <w:color w:val="FFFFFF"/>
                <w:sz w:val="18"/>
                <w:szCs w:val="18"/>
              </w:rPr>
              <w:t xml:space="preserve">Status</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Reeder</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Bae</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배</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Boot, Schiff</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Fiktiv, altkoreanisch</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Töpfer/Tonhändler</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Jil</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질</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Ton, Lehm</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Fiktiv, altkoreanisch</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Mineralienhändler</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Dol</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돌</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Stein</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Fiktiv, altkoreanisch</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Zwischenhändler (königstreu)</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Gaun</w:t>
            </w:r>
            <w:r>
              <w:rPr>
                <w:sz w:val="18"/>
                <w:szCs w:val="18"/>
              </w:rPr>
              <w:t xml:space="preserve"> (Mok Gaun / Sa Gaun)</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가운</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Mitte, dazwischen</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Fiktiv, altkoreanisch</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Feldmarschall "Großer Held"</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Gyebaek</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階伯</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Ranghöchster Anführer</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Historisch belegt</w:t>
            </w:r>
          </w:p>
        </w:tc>
      </w:tr>
      <w:tr>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Wesir "Vorsichtig"</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b/>
                <w:bCs/>
                <w:sz w:val="18"/>
                <w:szCs w:val="18"/>
              </w:rPr>
              <w:t xml:space="preserve">Seongchung</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成忠</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Gewissenhaft und treu</w:t>
            </w:r>
          </w:p>
        </w:tc>
        <w:tc>
          <w:tcPr>
            <w:tcW w:type="dxa" w:w="1784"/>
            <w:tcBorders>
              <w:top w:val="single" w:color="CCCCCC" w:sz="2"/>
              <w:left w:val="single" w:color="CCCCCC" w:sz="2"/>
              <w:bottom w:val="single" w:color="CCCCCC" w:sz="2"/>
              <w:right w:val="single" w:color="CCCCCC" w:sz="2"/>
            </w:tcBorders>
            <w:tcMar>
              <w:top w:type="dxa" w:w="50"/>
              <w:left w:type="dxa" w:w="80"/>
              <w:bottom w:type="dxa" w:w="50"/>
              <w:right w:type="dxa" w:w="80"/>
            </w:tcMar>
          </w:tcPr>
          <w:p>
            <w:r>
              <w:rPr>
                <w:sz w:val="18"/>
                <w:szCs w:val="18"/>
              </w:rPr>
              <w:t xml:space="preserve">✅ Historisch belegt</w:t>
            </w:r>
          </w:p>
        </w:tc>
      </w:tr>
    </w:tbl>
    <w:p/>
    <w:p/>
    <w:p>
      <w:pPr>
        <w:pBdr>
          <w:bottom w:val="single" w:color="999999" w:sz="4" w:space="4"/>
        </w:pBdr>
        <w:spacing w:after="160" w:before="80"/>
      </w:pPr>
    </w:p>
    <w:p/>
    <w:p>
      <w:pPr>
        <w:pStyle w:val="Heading2"/>
      </w:pPr>
      <w:r>
        <w:t xml:space="preserve">Historischer Kontext: Baekje vs. Silla — wann begann der Krieg?</w:t>
      </w:r>
    </w:p>
    <w:p/>
    <w:p>
      <w:pPr>
        <w:pStyle w:val="Heading3"/>
      </w:pPr>
      <w:r>
        <w:t xml:space="preserve">Kurze Antwort: Der Krieg hatte keinen einzelnen Beginn — er war ein Dauerzustand mit Unterbrechungen.</w:t>
      </w:r>
    </w:p>
    <w:p/>
    <w:p>
      <w:pPr>
        <w:pStyle w:val="Heading3"/>
      </w:pPr>
      <w:r>
        <w:t xml:space="preserve">Die Chronologie</w:t>
      </w:r>
    </w:p>
    <w:p/>
    <w:p>
      <w:r>
        <w:rPr>
          <w:b/>
          <w:bCs/>
        </w:rPr>
        <w:t xml:space="preserve">433–553 AD — Lange Allianz:</w:t>
      </w:r>
    </w:p>
    <w:p>
      <w:r>
        <w:t xml:space="preserve">Baekje und Silla verbündet gegen Goguryeo im Norden. Über 120 Jahre relativer Frieden zwischen den beiden Königreichen.</w:t>
      </w:r>
    </w:p>
    <w:p/>
    <w:p>
      <w:r>
        <w:rPr>
          <w:b/>
          <w:bCs/>
        </w:rPr>
        <w:t xml:space="preserve">553–554 AD — Sillas Verrat — der eigentliche Wendepunkt:</w:t>
      </w:r>
    </w:p>
    <w:p>
      <w:r>
        <w:t xml:space="preserve">551 AD greifen Baekje und Silla gemeinsam das Han-Fluss-Becken an. Dann bricht Silla das Bündnis: vertreibt Baekjes Truppen, sichert sich das gesamte Han-Fluss-Becken und gewinnt damit Zugang zum Gelben Meer und zu China. König Seong von Baekje greift Silla an — und fällt in der Schlacht bei Gwansan-Festung 554 AD.</w:t>
      </w:r>
    </w:p>
    <w:p/>
    <w:p>
      <w:r>
        <w:rPr>
          <w:b/>
          <w:bCs/>
        </w:rPr>
        <w:t xml:space="preserve">Ab 554 AD: Permanente Feindschaft.</w:t>
      </w:r>
    </w:p>
    <w:p>
      <w:r>
        <w:t xml:space="preserve">Das ist der Moment, ab dem Baekje und Silla keine Allianz mehr bilden, sondern dauerhaft verfeindet bleiben.</w:t>
      </w:r>
    </w:p>
    <w:p/>
    <w:p>
      <w:r>
        <w:rPr>
          <w:b/>
          <w:bCs/>
        </w:rPr>
        <w:t xml:space="preserve">642 AD — Neue Eskalation unter König Uija:</w:t>
      </w:r>
    </w:p>
    <w:p>
      <w:r>
        <w:t xml:space="preserve">König Uija greift Silla an und erobert rund 40 Befestigungen. Das treibt Silla in die Arme der Tang-Dynastie.</w:t>
      </w:r>
    </w:p>
    <w:p/>
    <w:p>
      <w:r>
        <w:rPr>
          <w:b/>
          <w:bCs/>
        </w:rPr>
        <w:t xml:space="preserve">660 AD — Endkampf:</w:t>
      </w:r>
    </w:p>
    <w:p>
      <w:r>
        <w:t xml:space="preserve">Silla und Tang vernichten Baekje gemeinsam. Hauptstadt Sabi fällt. König Uija wird nach China deportiert.</w:t>
      </w:r>
    </w:p>
    <w:p/>
    <w:p>
      <w:pPr>
        <w:pStyle w:val="Heading3"/>
      </w:pPr>
      <w:r>
        <w:t xml:space="preserve">Bedeutung für die Romanhandlung (~650 AD)</w:t>
      </w:r>
    </w:p>
    <w:p/>
    <w:p>
      <w:r>
        <w:t xml:space="preserve">Die drei Kaufleute fliehen mitten in einer fast 100 Jahre andauernden Feindschaft zwischen Baekje und Silla — kein überraschender Kriegsausbruch, sondern ein Dauerzustand. König Uija hat 642 eine massive Offensive gestartet. Das Ende Baekjes ist 10 Jahre entfernt, aber noch nicht absehbar.</w:t>
      </w:r>
    </w:p>
    <w:p/>
    <w:p>
      <w:r>
        <w:t xml:space="preserve">Die Kaufleute sind keine Flüchtlinge eines plötzlichen Krieges — sie sind Menschen, die ahnen, dass Baekje langfristig verliert. Das gibt ihrem Aufbruch eine andere Qualität: nicht Panik, sondern Kalkulation.</w:t>
      </w:r>
    </w:p>
    <w:p/>
    <w:p>
      <w:pPr>
        <w:pBdr>
          <w:bottom w:val="single" w:color="999999" w:sz="4" w:space="4"/>
        </w:pBdr>
        <w:spacing w:after="160" w:before="80"/>
      </w:pPr>
    </w:p>
    <w:p/>
    <w:p>
      <w:r>
        <w:rPr>
          <w:i/>
          <w:iCs/>
        </w:rPr>
        <w:t xml:space="preserve">Quellen: Wikipedia — Silla–Goguryeo and Paekche–Kaya–Wa War; Paekche–Tang War; First conflict of the Goguryeo–Tang War | HistoryNet — Korea's Game of Thrones | Gyebaek: superrealkorean.com | Seongchung: pronouncer.org biographical names</w:t>
      </w:r>
    </w:p>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00" w:before="0"/>
    </w:pPr>
    <w:rPr>
      <w:rFonts w:ascii="Arial" w:cs="Arial" w:eastAsia="Arial" w:hAnsi="Arial"/>
      <w:b/>
      <w:bCs/>
      <w:color w:val="1F3864"/>
      <w:sz w:val="48"/>
      <w:szCs w:val="48"/>
    </w:rPr>
  </w:style>
  <w:style w:type="paragraph" w:styleId="Heading1">
    <w:name w:val="Heading 1"/>
    <w:basedOn w:val="Normal"/>
    <w:next w:val="Normal"/>
    <w:qFormat/>
    <w:pPr>
      <w:pBdr>
        <w:bottom w:val="single" w:color="1F3864" w:sz="6" w:space="4"/>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72C4"/>
      <w:sz w:val="23"/>
      <w:szCs w:val="23"/>
    </w:rPr>
  </w:style>
  <w:style w:type="paragraph" w:styleId="Heading4">
    <w:name w:val="Heading 4"/>
    <w:basedOn w:val="Normal"/>
    <w:next w:val="Normal"/>
    <w:qFormat/>
    <w:pPr>
      <w:spacing w:after="60" w:before="160"/>
      <w:outlineLvl w:val="3"/>
    </w:pPr>
    <w:rPr>
      <w:rFonts w:ascii="Arial" w:cs="Arial" w:eastAsia="Arial" w:hAnsi="Arial"/>
      <w:b/>
      <w:bCs/>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2026-07-16T12:36:02.953Z</dcterms:created>
  <dcterms:modified xsi:type="dcterms:W3CDTF">2026-07-16T12:36:02.968Z</dcterms:modified>
</cp:coreProperties>
</file>

<file path=docProps/custom.xml><?xml version="1.0" encoding="utf-8"?>
<Properties xmlns="http://schemas.openxmlformats.org/officeDocument/2006/custom-properties" xmlns:vt="http://schemas.openxmlformats.org/officeDocument/2006/docPropsVTypes"/>
</file>