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before="1200" w:after="1200" w:line="312" w:lineRule="auto"/>
        <w:jc w:val="center"/>
        <w:rPr>
          <w:rFonts w:ascii="휴먼명조" w:hAnsi="휴먼명조" w:eastAsia="휴먼명조" w:cs="휴먼명조"/>
          <w:b/>
          <w:bCs/>
          <w:sz w:val="32"/>
          <w:szCs w:val="32"/>
        </w:rPr>
      </w:pPr>
      <w:r>
        <w:rPr>
          <w:rFonts w:ascii="휴먼명조" w:hAnsi="휴먼명조" w:eastAsia="휴먼명조" w:cs="휴먼명조"/>
          <w:b/>
          <w:bCs/>
          <w:sz w:val="32"/>
          <w:szCs w:val="32"/>
        </w:rPr>
        <w:t xml:space="preserve">제6회 학생 SW·AI 인재 양성 프로젝트 결과 보고서</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9360"/>
      </w:tblGrid>
      <w:tr>
        <w:trPr>
          <w:tblHeader/>
        </w:trPr>
        <w:tc>
          <w:tcPr>
            <w:tcW w:w="936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연구 주제명</w:t>
            </w:r>
          </w:p>
        </w:tc>
      </w:tr>
      <w:tr>
        <w:tc>
          <w:tcPr>
            <w:tcW w:w="936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머신러닝 모델 기반의 식물 전기 신호 시각화 및 패턴 분석을 활용한 실시간 상태 분류 시스템 구현</w:t>
            </w:r>
          </w:p>
        </w:tc>
      </w:tr>
    </w:tbl>
    <w:p>
      <w:pPr>
        <w:spacing w:before="0" w:after="80" w:line="312" w:lineRule="auto"/>
        <w:rPr>
          <w:rFonts w:ascii="휴먼명조" w:hAnsi="휴먼명조" w:eastAsia="휴먼명조" w:cs="휴먼명조"/>
          <w:sz w:val="22"/>
          <w:szCs w:val="22"/>
        </w:rPr>
      </w:pPr>
    </w:p>
    <w:p>
      <w:pPr>
        <w:spacing w:before="0" w:after="1600" w:line="312" w:lineRule="auto"/>
        <w:rPr>
          <w:rFonts w:ascii="휴먼명조" w:hAnsi="휴먼명조" w:eastAsia="휴먼명조" w:cs="휴먼명조"/>
          <w:sz w:val="22"/>
          <w:szCs w:val="22"/>
        </w:rPr>
      </w:pPr>
    </w:p>
    <w:p>
      <w:pPr>
        <w:spacing w:before="0" w:after="40" w:line="312" w:lineRule="auto"/>
        <w:jc w:val="center"/>
        <w:rPr>
          <w:rFonts w:ascii="휴먼명조" w:hAnsi="휴먼명조" w:eastAsia="휴먼명조" w:cs="휴먼명조"/>
          <w:sz w:val="24"/>
          <w:szCs w:val="24"/>
        </w:rPr>
      </w:pPr>
      <w:r>
        <w:rPr>
          <w:rFonts w:ascii="휴먼명조" w:hAnsi="휴먼명조" w:eastAsia="휴먼명조" w:cs="휴먼명조"/>
          <w:sz w:val="24"/>
          <w:szCs w:val="24"/>
        </w:rPr>
        <w:t xml:space="preserve">영천고등학교 1학년 박선진</w:t>
      </w:r>
    </w:p>
    <w:p>
      <w:pPr>
        <w:spacing w:before="0" w:after="40" w:line="312" w:lineRule="auto"/>
        <w:jc w:val="center"/>
        <w:rPr>
          <w:rFonts w:ascii="휴먼명조" w:hAnsi="휴먼명조" w:eastAsia="휴먼명조" w:cs="휴먼명조"/>
          <w:sz w:val="24"/>
          <w:szCs w:val="24"/>
        </w:rPr>
      </w:pPr>
      <w:r>
        <w:rPr>
          <w:rFonts w:ascii="휴먼명조" w:hAnsi="휴먼명조" w:eastAsia="휴먼명조" w:cs="휴먼명조"/>
          <w:sz w:val="24"/>
          <w:szCs w:val="24"/>
        </w:rPr>
        <w:t xml:space="preserve">유도혁</w:t>
      </w:r>
    </w:p>
    <w:p>
      <w:pPr>
        <w:spacing w:before="0" w:after="40" w:line="312" w:lineRule="auto"/>
        <w:jc w:val="center"/>
        <w:rPr>
          <w:rFonts w:ascii="휴먼명조" w:hAnsi="휴먼명조" w:eastAsia="휴먼명조" w:cs="휴먼명조"/>
          <w:sz w:val="24"/>
          <w:szCs w:val="24"/>
        </w:rPr>
      </w:pPr>
      <w:r>
        <w:rPr>
          <w:rFonts w:ascii="휴먼명조" w:hAnsi="휴먼명조" w:eastAsia="휴먼명조" w:cs="휴먼명조"/>
          <w:sz w:val="24"/>
          <w:szCs w:val="24"/>
        </w:rPr>
        <w:t xml:space="preserve">이유찬</w:t>
      </w:r>
    </w:p>
    <w:p>
      <w:pPr>
        <w:spacing w:before="0" w:after="40" w:line="312" w:lineRule="auto"/>
        <w:jc w:val="center"/>
        <w:rPr>
          <w:rFonts w:ascii="휴먼명조" w:hAnsi="휴먼명조" w:eastAsia="휴먼명조" w:cs="휴먼명조"/>
          <w:sz w:val="24"/>
          <w:szCs w:val="24"/>
        </w:rPr>
      </w:pPr>
      <w:r>
        <w:rPr>
          <w:rFonts w:ascii="휴먼명조" w:hAnsi="휴먼명조" w:eastAsia="휴먼명조" w:cs="휴먼명조"/>
          <w:sz w:val="24"/>
          <w:szCs w:val="24"/>
        </w:rPr>
        <w:t xml:space="preserve">박소미</w:t>
      </w:r>
    </w:p>
    <w:p>
      <w:pPr>
        <w:spacing w:before="0" w:after="800" w:line="312" w:lineRule="auto"/>
        <w:rPr>
          <w:rFonts w:ascii="휴먼명조" w:hAnsi="휴먼명조" w:eastAsia="휴먼명조" w:cs="휴먼명조"/>
          <w:sz w:val="22"/>
          <w:szCs w:val="22"/>
        </w:rPr>
      </w:pPr>
    </w:p>
    <w:p>
      <w:pPr>
        <w:spacing w:before="0" w:after="60" w:line="312" w:lineRule="auto"/>
        <w:jc w:val="center"/>
        <w:rPr>
          <w:rFonts w:ascii="휴먼명조" w:hAnsi="휴먼명조" w:eastAsia="휴먼명조" w:cs="휴먼명조"/>
          <w:sz w:val="24"/>
          <w:szCs w:val="24"/>
        </w:rPr>
      </w:pPr>
      <w:r>
        <w:rPr>
          <w:rFonts w:ascii="휴먼명조" w:hAnsi="휴먼명조" w:eastAsia="휴먼명조" w:cs="휴먼명조"/>
          <w:sz w:val="24"/>
          <w:szCs w:val="24"/>
        </w:rPr>
        <w:t xml:space="preserve">자문위원: ㈜에이포랩  김민재</w:t>
      </w:r>
    </w:p>
    <w:p>
      <w:pPr>
        <w:spacing w:before="0" w:after="60" w:line="312" w:lineRule="auto"/>
        <w:jc w:val="center"/>
        <w:rPr>
          <w:rFonts w:ascii="휴먼명조" w:hAnsi="휴먼명조" w:eastAsia="휴먼명조" w:cs="휴먼명조"/>
          <w:sz w:val="24"/>
          <w:szCs w:val="24"/>
        </w:rPr>
      </w:pPr>
      <w:r>
        <w:rPr>
          <w:rFonts w:ascii="휴먼명조" w:hAnsi="휴먼명조" w:eastAsia="휴먼명조" w:cs="휴먼명조"/>
          <w:sz w:val="24"/>
          <w:szCs w:val="24"/>
        </w:rPr>
        <w:t xml:space="preserve">지도교사: 영천고등학교  이민정</w:t>
      </w:r>
    </w:p>
    <w:p>
      <w:r>
        <w:br w:type="page"/>
      </w:r>
    </w:p>
    <w:p>
      <w:pPr>
        <w:spacing w:before="0" w:after="400" w:line="312" w:lineRule="auto"/>
        <w:jc w:val="center"/>
        <w:rPr>
          <w:rFonts w:ascii="휴먼명조" w:hAnsi="휴먼명조" w:eastAsia="휴먼명조" w:cs="휴먼명조"/>
          <w:b/>
          <w:bCs/>
          <w:sz w:val="28"/>
          <w:szCs w:val="28"/>
        </w:rPr>
      </w:pPr>
      <w:r>
        <w:rPr>
          <w:rFonts w:ascii="휴먼명조" w:hAnsi="휴먼명조" w:eastAsia="휴먼명조" w:cs="휴먼명조"/>
          <w:b/>
          <w:bCs/>
          <w:sz w:val="28"/>
          <w:szCs w:val="28"/>
        </w:rPr>
        <w:t xml:space="preserve">목    차</w:t>
      </w:r>
    </w:p>
    <w:p>
      <w:pPr>
        <w:spacing w:before="0" w:after="160" w:line="312" w:lineRule="auto"/>
        <w:ind w:left="720" w:hanging="220"/>
        <w:rPr>
          <w:rFonts w:ascii="휴먼명조" w:hAnsi="휴먼명조" w:eastAsia="휴먼명조" w:cs="휴먼명조"/>
          <w:sz w:val="24"/>
          <w:szCs w:val="24"/>
        </w:rPr>
      </w:pPr>
      <w:r>
        <w:rPr>
          <w:rFonts w:ascii="휴먼명조" w:hAnsi="휴먼명조" w:eastAsia="휴먼명조" w:cs="휴먼명조"/>
          <w:sz w:val="24"/>
          <w:szCs w:val="24"/>
        </w:rPr>
        <w:t xml:space="preserve">연구 요약</w:t>
      </w:r>
    </w:p>
    <w:p>
      <w:pPr>
        <w:spacing w:before="0" w:after="160" w:line="312" w:lineRule="auto"/>
        <w:ind w:left="720" w:hanging="220"/>
        <w:rPr>
          <w:rFonts w:ascii="휴먼명조" w:hAnsi="휴먼명조" w:eastAsia="휴먼명조" w:cs="휴먼명조"/>
          <w:sz w:val="24"/>
          <w:szCs w:val="24"/>
        </w:rPr>
      </w:pPr>
      <w:r>
        <w:rPr>
          <w:rFonts w:ascii="휴먼명조" w:hAnsi="휴먼명조" w:eastAsia="휴먼명조" w:cs="휴먼명조"/>
          <w:sz w:val="24"/>
          <w:szCs w:val="24"/>
        </w:rPr>
        <w:t xml:space="preserve">Ⅰ. 서론</w:t>
      </w:r>
    </w:p>
    <w:p>
      <w:pPr>
        <w:spacing w:before="0" w:after="160" w:line="312" w:lineRule="auto"/>
        <w:ind w:left="720" w:hanging="220"/>
        <w:rPr>
          <w:rFonts w:ascii="휴먼명조" w:hAnsi="휴먼명조" w:eastAsia="휴먼명조" w:cs="휴먼명조"/>
          <w:sz w:val="24"/>
          <w:szCs w:val="24"/>
        </w:rPr>
      </w:pPr>
      <w:r>
        <w:rPr>
          <w:rFonts w:ascii="휴먼명조" w:hAnsi="휴먼명조" w:eastAsia="휴먼명조" w:cs="휴먼명조"/>
          <w:sz w:val="24"/>
          <w:szCs w:val="24"/>
        </w:rPr>
        <w:t xml:space="preserve">Ⅱ. 연구 배경</w:t>
      </w:r>
    </w:p>
    <w:p>
      <w:pPr>
        <w:spacing w:before="0" w:after="160" w:line="312" w:lineRule="auto"/>
        <w:ind w:left="720" w:hanging="220"/>
        <w:rPr>
          <w:rFonts w:ascii="휴먼명조" w:hAnsi="휴먼명조" w:eastAsia="휴먼명조" w:cs="휴먼명조"/>
          <w:sz w:val="24"/>
          <w:szCs w:val="24"/>
        </w:rPr>
      </w:pPr>
      <w:r>
        <w:rPr>
          <w:rFonts w:ascii="휴먼명조" w:hAnsi="휴먼명조" w:eastAsia="휴먼명조" w:cs="휴먼명조"/>
          <w:sz w:val="24"/>
          <w:szCs w:val="24"/>
        </w:rPr>
        <w:t xml:space="preserve">Ⅲ. 연구 방법 및 내용</w:t>
      </w:r>
    </w:p>
    <w:p>
      <w:pPr>
        <w:spacing w:before="0" w:after="160" w:line="312" w:lineRule="auto"/>
        <w:ind w:left="720" w:hanging="220"/>
        <w:rPr>
          <w:rFonts w:ascii="휴먼명조" w:hAnsi="휴먼명조" w:eastAsia="휴먼명조" w:cs="휴먼명조"/>
          <w:sz w:val="24"/>
          <w:szCs w:val="24"/>
        </w:rPr>
      </w:pPr>
      <w:r>
        <w:rPr>
          <w:rFonts w:ascii="휴먼명조" w:hAnsi="휴먼명조" w:eastAsia="휴먼명조" w:cs="휴먼명조"/>
          <w:sz w:val="24"/>
          <w:szCs w:val="24"/>
        </w:rPr>
        <w:t xml:space="preserve">Ⅳ. 연구 결과</w:t>
      </w:r>
    </w:p>
    <w:p>
      <w:pPr>
        <w:spacing w:before="0" w:after="160" w:line="312" w:lineRule="auto"/>
        <w:ind w:left="720" w:hanging="220"/>
        <w:rPr>
          <w:rFonts w:ascii="휴먼명조" w:hAnsi="휴먼명조" w:eastAsia="휴먼명조" w:cs="휴먼명조"/>
          <w:sz w:val="24"/>
          <w:szCs w:val="24"/>
        </w:rPr>
      </w:pPr>
      <w:r>
        <w:rPr>
          <w:rFonts w:ascii="휴먼명조" w:hAnsi="휴먼명조" w:eastAsia="휴먼명조" w:cs="휴먼명조"/>
          <w:sz w:val="24"/>
          <w:szCs w:val="24"/>
        </w:rPr>
        <w:t xml:space="preserve">Ⅴ. 결론 및 제언</w:t>
      </w:r>
    </w:p>
    <w:p>
      <w:pPr>
        <w:spacing w:before="0" w:after="160" w:line="312" w:lineRule="auto"/>
        <w:ind w:left="720" w:hanging="220"/>
        <w:rPr>
          <w:rFonts w:ascii="휴먼명조" w:hAnsi="휴먼명조" w:eastAsia="휴먼명조" w:cs="휴먼명조"/>
          <w:sz w:val="24"/>
          <w:szCs w:val="24"/>
        </w:rPr>
      </w:pPr>
      <w:r>
        <w:rPr>
          <w:rFonts w:ascii="휴먼명조" w:hAnsi="휴먼명조" w:eastAsia="휴먼명조" w:cs="휴먼명조"/>
          <w:sz w:val="24"/>
          <w:szCs w:val="24"/>
        </w:rPr>
        <w:t xml:space="preserve">참고 문헌</w:t>
      </w:r>
    </w:p>
    <w:p>
      <w:pPr>
        <w:spacing w:before="0" w:after="160" w:line="312" w:lineRule="auto"/>
        <w:ind w:left="720" w:hanging="220"/>
        <w:rPr>
          <w:rFonts w:ascii="휴먼명조" w:hAnsi="휴먼명조" w:eastAsia="휴먼명조" w:cs="휴먼명조"/>
          <w:sz w:val="24"/>
          <w:szCs w:val="24"/>
        </w:rPr>
      </w:pPr>
      <w:r>
        <w:rPr>
          <w:rFonts w:ascii="휴먼명조" w:hAnsi="휴먼명조" w:eastAsia="휴먼명조" w:cs="휴먼명조"/>
          <w:sz w:val="24"/>
          <w:szCs w:val="24"/>
        </w:rPr>
        <w:t xml:space="preserve">부 록</w:t>
      </w:r>
    </w:p>
    <w:p>
      <w:r>
        <w:br w:type="page"/>
      </w:r>
    </w:p>
    <w:p>
      <w:pPr>
        <w:keepNext/>
        <w:spacing w:before="200" w:after="200" w:line="312" w:lineRule="auto"/>
        <w:rPr>
          <w:rFonts w:ascii="휴먼명조" w:hAnsi="휴먼명조" w:eastAsia="휴먼명조" w:cs="휴먼명조"/>
          <w:b/>
          <w:bCs/>
          <w:sz w:val="28"/>
          <w:szCs w:val="28"/>
        </w:rPr>
      </w:pPr>
      <w:r>
        <w:rPr>
          <w:rFonts w:ascii="휴먼명조" w:hAnsi="휴먼명조" w:eastAsia="휴먼명조" w:cs="휴먼명조"/>
          <w:b/>
          <w:bCs/>
          <w:sz w:val="28"/>
          <w:szCs w:val="28"/>
        </w:rPr>
        <w:t xml:space="preserve">연구 요약</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4680"/>
        <w:gridCol w:w="4680"/>
      </w:tblGrid>
      <w:tr>
        <w:trPr>
          <w:tblHeader/>
        </w:trPr>
        <w:tc>
          <w:tcPr>
            <w:tcW w:w="468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연구 제목</w:t>
            </w:r>
          </w:p>
        </w:tc>
        <w:tc>
          <w:tcPr>
            <w:tcW w:w="468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머신러닝 모델 기반의 식물 전기 신호 시각화 및 패턴 분석을 활용한 실시간 상태 분류 시스템 구현</w:t>
            </w:r>
          </w:p>
        </w:tc>
      </w:tr>
      <w:tr>
        <w:trPr>
          <w:tblHeader/>
        </w:trPr>
        <w:tc>
          <w:tcPr>
            <w:tcW w:w="468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연구 목표</w:t>
            </w:r>
          </w:p>
        </w:tc>
        <w:tc>
          <w:tcPr>
            <w:tcW w:w="468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식물의 미세 전기 신호를 수집하여 인간이 직관적으로 이해할 수 있는 정보로 변환하는 '실시간 식물 상태 분류 시스템(식물 번역기)'을 구현한다. 정상 · 수분부족 · 자극 세 가지 상태를 실시간으로 분류하는 것이 목표이며, 실험 대상 식물종으로 방울토마토를 선정했다.</w:t>
            </w:r>
          </w:p>
        </w:tc>
      </w:tr>
      <w:tr>
        <w:trPr>
          <w:tblHeader/>
        </w:trPr>
        <w:tc>
          <w:tcPr>
            <w:tcW w:w="468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연구 내용</w:t>
            </w:r>
          </w:p>
        </w:tc>
        <w:tc>
          <w:tcPr>
            <w:tcW w:w="468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라즈베리파이 5 + AD8232(생체전위 증폭기) + ADS1115(16비트 ADC)로 250 Hz 측정 시스템 구현 대역통과·노치 필터 후 10초 창 단위로 스펙트로그램(224×224)과 통계·주파수 특징 14개를 추출 SVM·Random Forest를 시간순 그룹 분할로 학습하여 두 특징 방식을 비교 분류가 되지 않는 원인을 추적하여 측정계 결함 4종을 발견·제거하고, 접촉 조건을 달리한 4조건 대조실험 수행 문헌 조사와 실측값 대조를 통해 목표 미달성의 근본 원인을 분석</w:t>
            </w:r>
          </w:p>
        </w:tc>
      </w:tr>
      <w:tr>
        <w:trPr>
          <w:tblHeader/>
        </w:trPr>
        <w:tc>
          <w:tcPr>
            <w:tcW w:w="468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연구 성과</w:t>
            </w:r>
          </w:p>
        </w:tc>
        <w:tc>
          <w:tcPr>
            <w:tcW w:w="468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측정 시스템 구현과 2상태(정상·자극) 실시간 반응 확인까지 진행하였다. 다만 검출된 신호가 식물에서 온 것임을 아직 입증하지 못했고, 수분부족 상태는 측정 조건을 확보하지 못해 3상태 분류의 최종 검증은 진행 중이다. 측정 시스템 구현 — ADC 연속변환 전환으로 샘플레이트 확보, 상용전원 50/60 Hz 자동 판별, 브라우저 통합 웹 시스템 개발 초기에 얻은 높은 정확도가 신뢰할 수 없는 값임을 규명 — 식물 반응이 아니라 클래스 간 전극 부착 조건의 차이를 학습한 결과였음 검출 신호의 상당 부분이 실험자 신체를 통한 전위 결합임을 대조실험으로 확인 측정계의 구조적 한계 규명 — AD8232의 통과대역(0.5–40 Hz)이 수분부족 신호 대역(10⁻⁴–10⁻² Hz)을 원리적으로 차단하며, 입력 임피던스가 식물 조직 측정 요구치에 미달함</w:t>
            </w:r>
          </w:p>
        </w:tc>
      </w:tr>
    </w:tbl>
    <w:p>
      <w:pPr>
        <w:spacing w:before="0" w:after="80" w:line="312" w:lineRule="auto"/>
        <w:rPr>
          <w:rFonts w:ascii="휴먼명조" w:hAnsi="휴먼명조" w:eastAsia="휴먼명조" w:cs="휴먼명조"/>
          <w:sz w:val="22"/>
          <w:szCs w:val="22"/>
        </w:rPr>
      </w:pPr>
    </w:p>
    <w:p>
      <w:pPr>
        <w:keepNext/>
        <w:spacing w:before="200" w:after="200" w:line="312" w:lineRule="auto"/>
        <w:rPr>
          <w:rFonts w:ascii="휴먼명조" w:hAnsi="휴먼명조" w:eastAsia="휴먼명조" w:cs="휴먼명조"/>
          <w:b/>
          <w:bCs/>
          <w:sz w:val="28"/>
          <w:szCs w:val="28"/>
        </w:rPr>
      </w:pPr>
      <w:r>
        <w:rPr>
          <w:rFonts w:ascii="휴먼명조" w:hAnsi="휴먼명조" w:eastAsia="휴먼명조" w:cs="휴먼명조"/>
          <w:b/>
          <w:bCs/>
          <w:sz w:val="28"/>
          <w:szCs w:val="28"/>
        </w:rPr>
        <w:t xml:space="preserve">Ⅰ. 서론</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연구개요 및 내용 (연구 목적과 필요성 등 서술)</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1. 연구의 필요성</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반려식물 재배와 스마트농업에 대한 관심이 커지며 식물의 생육 상태를 실시간으로 관리할 정밀 시스템의 필요성이 높아지고 있다. 그러나 현재의 식물 관리 방식은 대부분 토양 수분이나 잎의 시듦 같은 외형적 변화(Phenotype)에 의존한다. 이러한 변화는 생리적 상태가 이미 악화된 뒤에 나타나는 사후 지표인 경우가 많아 대응 시기를 놓치기 쉽고, 미세한 환경 변화나 초기 스트레스는 관찰만으로 파악하기 어렵다.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식물은 수분 부족이나 물리적 자극 같은 외부 스트레스에 반응하여 전기적 생체신호(Electrophysiological signals)를 발생시킨다[3]. 이 신호는 체내에서 정보를 신속하게 전달하는 즉각적인 정보원으로, 외형적 변화가 나타나기 전 단계에서 내적 생리 상태를 정량적으로 판단할 근거를 제공한다. 따라서 이 미세 신호를 포착·해석하는 접근은 식물의 생존율을 높이고 생육 환경을 최적화하는 데 유효한 경로가 된다.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2. 연구 목적</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본 연구에서는 식물의 미세 전기 신호를 수집하여 인간이 직관적으로 이해할 수 있는 정보로 변환하는 '실시간 식물 상태 분류 시스템(식물 번역기)'을 구현하고자 한다. 이를 위해 라즈베리파이 기반의 데이터 수집 체계를 구축하고, 수집된 데이터를 전처리하여 SVM 및 Random Forest 등의 머신러닝 모델로 식물의 상태를 정상 · 수분부족 · 자극 세 가지로 분류할 계획이다. 실험 대상 식물종으로는 재배가 쉽고 자극 반응이 비교적 뚜렷하다고 알려진 방울토마토를 선정했다. 이를 위한 세부 목표는 다음과 같다.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① AD8232 생체전위 증폭기와 ADS1115 ADC로 방울토마토의 미세 전위를 250 Hz로 안정적으로 획득한다.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② 획득한 시계열을 스펙트로그램과 명시적 특징으로 변환하고, SVM·Random Forest로 세 상태를 분류한다.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③ 분류 정확도 70 % 이상을 달성한다.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④ SSH·VNC 없이 브라우저만으로 수집–학습–추론이 가능한 통합 시스템을 구현한다.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3. 연구 문제</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연구문제 1. 저비용 장비로 방울토마토의 세 가지 상태를 구분할 수 있는 전기신호를 획득할 수 있는가?</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연구문제 2. 획득한 신호로 학습한 분류기가 실제 환경에서 세 상태를 정확히 판별하는가?</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본 보고서 Ⅳ장은 이 두 질문에 대해 현재까지 확인된 것과 확인되지 않은 것을 구분하여 서술하고, 측정계가 갖는 구조적 한계를 문헌과 대조하여 분석한다.</w:t>
      </w:r>
    </w:p>
    <w:p>
      <w:pPr>
        <w:keepNext/>
        <w:spacing w:before="200" w:after="200" w:line="312" w:lineRule="auto"/>
        <w:rPr>
          <w:rFonts w:ascii="휴먼명조" w:hAnsi="휴먼명조" w:eastAsia="휴먼명조" w:cs="휴먼명조"/>
          <w:b/>
          <w:bCs/>
          <w:sz w:val="28"/>
          <w:szCs w:val="28"/>
        </w:rPr>
      </w:pPr>
      <w:r>
        <w:rPr>
          <w:rFonts w:ascii="휴먼명조" w:hAnsi="휴먼명조" w:eastAsia="휴먼명조" w:cs="휴먼명조"/>
          <w:b/>
          <w:bCs/>
          <w:sz w:val="28"/>
          <w:szCs w:val="28"/>
        </w:rPr>
        <w:t xml:space="preserve">Ⅱ. 연구 배경</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이론적 배경, 선행연구 등 서술</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1. 식물의 전기신호</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(1) 발생 기전과 두 가지 신호 유형</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식물이 전기신호를 낸다는 관찰은 1873년 Burdon-Sanderson이 파리지옥(Dionaea muscipula)에서 처음 기록했고[18], 20세기 초 Bose가 여러 식물종에서 자극 반응 전위를 측정하며 이어졌다[19]. 다만 이 신호가 실제 생리 반응을 유발하는지는 오랫동안 논쟁거리였고, Fromm과 Lautner가 광합성률 저하·호흡 증가·유전자 발현 변화로 이어짐을 정리하며 정량적 답을 주었다[3].</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식물 세포도 동물 신경세포처럼 세포막을 사이에 둔 이온 농도 차로 −100 ~ −200 mV의 막전위를 유지한다. 자극이 문턱값을 넘으면 Ca²⁺ 유입 → Cl⁻ 유출(탈분극) → K⁺ 유출(재분극) 순서로 막전위가 무너졌다 돌아온다. 동물 신경의 Na⁺/K⁺ 기전과 채널 종류만 다를 뿐 원리가 같은 전-무(all-or-none) 방식의 재생성 신호이며, 여기서 두 유형이 갈린다.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활동전위(AP) — 접촉·전기 자극에 대한 전-무 방식의 신호. 원통형질연락으로 이어진 체관부를 따라 전기적으로 자기재생하며 전파되어 거리가 멀어져도 진폭이 거의 줄지 않는다.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변동전위(VP) — 상처·건조 등 손상성 자극에 대해 발생하는 등급성(graded) 신호. 화학 신호가 물관부의 유압 변화로 이동해 막전위를 이차적으로 흔들므로 거리에 따라 감쇠하고, 지속 시간이 수 분에서 수십 분에 이른다[13].</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측정 설계에서 결정적인 것은 이 신호들의 크기와 속도다. 진폭은 측정 방식에 따라 편차가 커서 표면 전극의 과도 신호는 1 mV 미만으로[9], 토마토 줄기에서는 21.2 mV로[12] 보고된다. 속도는 더 중요하다. 토마토 AP의 전파 속도 5.6 ± 0.5 cm/min[12]은 초속 0.93 mm여서, 전극을 3 cm 간격으로 붙이면 신호가 두 전극 사이를 지나는 데 약 32초가 걸린다. 다만 이 32초는 신호가 전극 사이를 건너가는 시간이지 전극 하나가 보는 파형의 지속시간이 아니다. 후자는 문헌이 0.025–2초로 보고하므로[9] 0.5–40 Hz다. 즉 한 신호에 두 시간 규모가 공존한다 — 빠른 과도 성분과 수십 초 규모의 기준점 이동이며, 이 구분이 Ⅳ장 6절에서 결정적으로 쓰인다. 전용 축삭 없이 체관부 세포를 하나씩 거쳐 가므로 신경 신호(초속 수 m)보다 10⁵배 느리다. 이 진폭과 속도가 Ⅳ장 6절 분석의 근거다.</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(2) 수분 스트레스의 시간 규모</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토양 수분이 부족해지면 뿌리의 삼투압 조절이 변하고 기공이 닫히며 막전위가 서서히 이동한다. AP·VP처럼 특정 순간의 이벤트가 아니라 막전위 기준점 자체가 옮겨 가는 준정상(quasi-steady) 변화다. 접촉 자극이 초 단위인 데 비해 수분부족은 수 시간~수 일에 걸쳐 진행되어 시간 규모가 10,000배 이상 차이 나며, 이는 곧 두 신호의 주파수 대역이 완전히 다르다는 뜻이다.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수분부족이라면 토양 수분 센서로 충분하지 않은가라는 의문이 나올 수 있다. 그러나 토양 센서는 흙의 물 함량을 잴 뿐 식물 자체의 수분 상태를 재지 않는다. 뿌리 손상, 염류 집적, 또는 흙은 젖어 있어도 증산 요구량이 흡수를 앞지르는 경우처럼 흙은 정상인데 식물은 스트레스를 겪는 상황을 놓친다. Ríos-Rojas 등은 과수 줄기 전위로[20], Cattani 등은 포도나무에서[21] 이를 보완하는 센서를 제시했다. 자극(초 단위)과 수분부족(시간~일 단위)을 같은 전극 한 세트로 잡는 것이 본 연구의 목표다.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2. 생체전위 측정 회로의 원리</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AD8232는 Analog Devices가 웨어러블 심박수 모니터용으로 설계한 단일 리드 생체전위 프런트엔드다[1]. 소자 자체가 (a) 사람 피부라는 저저항·저잡음 전극 환경과 (b) 심박(1–2 Hz 근방) 대역을 전제로 최적화되어 있어, 이 전제가 식물 측정과 어긋나는 지점이 곧 본 연구의 결과를 좌우한다.</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(1) 계측 증폭기와 공통모드 제거</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핵심은 계측 증폭기로, 두 측정 전극(RA·LA) 사이의 차이만 증폭하고 공통으로 들어오는 신호는 제거한다. 이 능력의 지표가 CMRR이며 AD8232는 80 dB 수준으로 설계되었다[1]. 그러나 CMRR은 두 입력 전극의 임피던스가 균형을 이룰 때만 사양대로 동작한다 — 한쪽 접촉 저항이 크게 높으면 균형이 깨지며 실효 CMRR이 급격히 낮아진다. 흙에 꽂은 전극처럼 접촉 저항이 크고 불안정하면 이 조건 자체가 무너진다.</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(2) RLD 능동 피드백</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AD8232는 세 번째 전극(RL)을 단순 접지로 쓰지 않고, RA·LA에서 감지한 공통모드 잡음을 반전 증폭해 RL로 되돌려보내 능동 상쇄하는 RLD(Right Leg Drive) 음성 피드백 루프를 갖는다[1]. 즉 RL은 받기만 하는 단자가 아니라 내보내는 단자이며, RL 쪽 부하 임피던스가 루프 이득에 포함되는 구조라 부하가 설계 전제를 크게 벗어나면 루프가 발진하거나 출력이 포화할 수 있다. 이 구조가 실제로 어떤 결과를 낳는지는 Ⅳ장 3절에서 대조실험으로 확인하였다.</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(3) 대역 제한과 입력 임피던스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AD8232는 0.5 Hz 2극 고역통과 + 40 Hz 2극 저역통과 필터가 내장된 고정 구조이며[8], 차단주파수가 실리콘 내부 RC 값으로 정해져 있어 소프트웨어로 바꿀 수 없다. 입력단은 사람 피부(50 kΩ 안팎)를 전제하지만 차동 입력 임피던스 자체는 10 GΩ ∥ 7.5 pF로[1] 식물 전위 측정 요구치 10 MΩ 이상[10]을 넉넉히 충족한다. 따라서 문제는 입력 임피던스의 절대값이 아니라, 높은 전극 임피던스가 오프셋 전류·입력 용량·CMRR 균형을 통해 일으키는 이차적 효과다(Ⅳ장 6절 (3)).</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3. 스펙트로그램 기반 시계열 분류</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시계열 분류에 널리 쓰이는 방법은 단시간 푸리에 변환(STFT)으로 시간–주파수 표현인 스펙트로그램을 만들어 이미지로 분류하는 것이다. 다만 스펙트로그램을 이미지로 렌더링할 때 각 창의 최솟값–최댓값으로 개별 정규화가 수행되며, 이 과정에서 신호의 절대적 크기 정보가 소실된다.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이에 대한 대안으로 본 연구는 명시적 특징 추출을 병행한다. 평균·표준편차·RMS·왜도·첨도·영교차율·피크투피크(시간영역)와 총에너지·대역별 파워·스펙트럴 중심·대역폭·피크 주파수(주파수영역) 등 14개를 수치로 직접 계산해 사용한다.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4. 선행연구 검토</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(1) 토마토 전기신호의 실측 특성</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본 연구의 대상인 토마토에 대해서는 이미 정량적 측정이 보고되어 있다. Volkov 연구진은 야생형 토마토에서 활동전위의 진폭 21.2 ± 2.4 mV, 전파 속도 5.6 ± 0.5 cm/min을 측정했고, 9 V 전기자극에는 40 mV 진폭 신호가 3.5–4.5 mm/s로 전파됨을 확인했다[12]. 변동전위는 더 느려 진폭 수십 mV, 지속 수십 분으로 보고된다[13]. 이 값들을 주파수로 환산했을 때 드러나는 문제가 Ⅳ장 6절의 출발점이다(1절 (1) 참조).</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(2) 전기신호 기반 상태 분류 선행연구</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식물 전기신호를 머신러닝으로 분류하려는 시도는 이미 여러 건 보고되어 있으며, 토마토를 대상으로 한 연구도 존재한다.</w:t>
      </w:r>
    </w:p>
    <w:p>
      <w:pPr>
        <w:keepNext/>
        <w:spacing w:before="0" w:after="60" w:line="312" w:lineRule="auto"/>
        <w:jc w:val="center"/>
        <w:rPr>
          <w:rFonts w:ascii="휴먼명조" w:hAnsi="휴먼명조" w:eastAsia="휴먼명조" w:cs="휴먼명조"/>
          <w:sz w:val="22"/>
          <w:szCs w:val="22"/>
        </w:rPr>
      </w:pPr>
      <w:r>
        <w:rPr>
          <w:rFonts w:ascii="휴먼명조" w:hAnsi="휴먼명조" w:eastAsia="휴먼명조" w:cs="휴먼명조"/>
          <w:sz w:val="22"/>
          <w:szCs w:val="22"/>
        </w:rPr>
        <w:t xml:space="preserve">표1. 식물 전기신호 기반 분류 선행연구</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3120"/>
        <w:gridCol w:w="3120"/>
        <w:gridCol w:w="3120"/>
      </w:tblGrid>
      <w:tr>
        <w:trPr>
          <w:tblHeader/>
        </w:trPr>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연구</w:t>
            </w:r>
          </w:p>
        </w:tc>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대상 · 과제</w:t>
            </w:r>
          </w:p>
        </w:tc>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측정 방식</w:t>
            </w:r>
          </w:p>
        </w:tc>
      </w:tr>
      <w:tr>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Volkov et al.[12]</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토마토 · 전기신호 전파 특성</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Ag/AgCl 전극, 고임피던스 전위계</w:t>
            </w:r>
          </w:p>
        </w:tc>
      </w:tr>
      <w:tr>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토마토 가뭄 분류 연구[14]</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토마토 · 정상 vs 가뭄</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BIOPAC MP150, 증상 발현 전후 측정</w:t>
            </w:r>
          </w:p>
        </w:tc>
      </w:tr>
      <w:tr>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토마토 영양결핍 분류[15]</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토마토 · 영양소별 결핍</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전기생리 신호 분해 + 표본공간 축소</w:t>
            </w:r>
          </w:p>
        </w:tc>
      </w:tr>
      <w:tr>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관수 관리용 수분스트레스 검출[16]</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수분 스트레스 조기 검출</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PhytoNode 센서, 16개체 18일 연속 측정</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본 연구</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토마토 · 정상/수분부족/자극</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AD8232 (ECG용), 심전도 젤 패드</w:t>
            </w:r>
          </w:p>
        </w:tc>
      </w:tr>
    </w:tbl>
    <w:p>
      <w:pPr>
        <w:spacing w:before="0" w:after="80" w:line="312" w:lineRule="auto"/>
        <w:rPr>
          <w:rFonts w:ascii="휴먼명조" w:hAnsi="휴먼명조" w:eastAsia="휴먼명조" w:cs="휴먼명조"/>
          <w:sz w:val="22"/>
          <w:szCs w:val="22"/>
        </w:rPr>
      </w:pP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표에서 드러나듯 선행연구는 예외 없이 식물 전기생리 전용 장비 또는 범용 생체신호 계측기를 사용하며, 심전도 전용 소자를 전용(轉用)한 사례는 학술 문헌에서 찾기 어려웠다. 메이커 커뮤니티에는 AD8232를 식물에 연결한 사례가 다수 있으나, 측정된 신호가 식물에서 온 것인지 검증한 기록은 확인되지 않았다.</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(3) 전문 측정 장비의 사양</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식물 세포외 전기신호 측정 프로토콜을 정리한 문헌은 비분극성 Ag/AgCl 전극, 입력 임피던스 2 × 10¹³ Ω의 전압 폴로어, DC 결합(고역통과 필터 없음), 40–100 Hz 샘플링·24비트 ADC를 제시한다[17]. 샘플링 요구치가 VP·수분 스트레스의 느린 대역에 비해 훨씬 높아 보이지만 모순은 아니다 — 같은 전극으로 AP의 0.025초짜리 가장자리까지 함께 잡아야 하고, 나이퀴스트 여유와 60 Hz 계열 잡음 제거용 여유 대역까지 고려하면 40–100 Hz는 VP·AP를 동시에 놓치지 않기 위한 하한선에 가깝다.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본 연구의 AD8232를 이 항목들과 나란히 놓으면 샘플링 주파수(250 Hz)와 입력 임피던스는 요구치를 충족하는 반면 DC 결합은 구조적으로 불가능하다. 항목별 대조는 Ⅳ장 6절 표10에 정리했다.</w:t>
      </w:r>
    </w:p>
    <w:p>
      <w:pPr>
        <w:keepNext/>
        <w:spacing w:before="200" w:after="200" w:line="312" w:lineRule="auto"/>
        <w:rPr>
          <w:rFonts w:ascii="휴먼명조" w:hAnsi="휴먼명조" w:eastAsia="휴먼명조" w:cs="휴먼명조"/>
          <w:b/>
          <w:bCs/>
          <w:sz w:val="28"/>
          <w:szCs w:val="28"/>
        </w:rPr>
      </w:pPr>
      <w:r>
        <w:rPr>
          <w:rFonts w:ascii="휴먼명조" w:hAnsi="휴먼명조" w:eastAsia="휴먼명조" w:cs="휴먼명조"/>
          <w:b/>
          <w:bCs/>
          <w:sz w:val="28"/>
          <w:szCs w:val="28"/>
        </w:rPr>
        <w:t xml:space="preserve">Ⅲ. 연구 방법 및 내용</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설계, 방법, 내용 등 서술</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1. 측정 시스템 설계</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(1) 하드웨어 구성</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측정 시스템은 식물에 부착한 3개 전극에서 시작해 라즈베리파이까지 이어지는 단일 신호 경로로 구성된다. AD8232는 디지털 출력이 없으므로 증폭된 아날로그 전위를 ADS1115로 변환한 뒤 I2C로 전달한다.</w:t>
      </w:r>
    </w:p>
    <w:p>
      <w:pPr>
        <w:keepNext/>
        <w:spacing w:before="120" w:after="60"/>
        <w:jc w:val="center"/>
      </w:pPr>
      <w:r>
        <w:drawing>
          <wp:inline distT="0" distB="0" distL="0" distR="0">
            <wp:extent cx="4950000" cy="1100000"/>
            <wp:effectExtent l="0" t="0" r="0" b="0"/>
            <wp:docPr id="1" name="Picture 1"/>
            <wp:cNvGraphicFramePr/>
            <a:graphic xmlns:a="http://schemas.openxmlformats.org/drawingml/2006/main">
              <a:graphicData uri="http://schemas.openxmlformats.org/drawingml/2006/picture">
                <pic:pic xmlns:pic="http://schemas.openxmlformats.org/drawingml/2006/picture">
                  <pic:nvPicPr>
                    <pic:cNvPr id="1" name="p0.png"/>
                    <pic:cNvPicPr/>
                  </pic:nvPicPr>
                  <pic:blipFill>
                    <a:blip r:embed="rId100"/>
                    <a:stretch>
                      <a:fillRect/>
                    </a:stretch>
                  </pic:blipFill>
                  <pic:spPr>
                    <a:xfrm>
                      <a:off x="0" y="0"/>
                      <a:ext cx="4950000" cy="1100000"/>
                    </a:xfrm>
                    <a:prstGeom prst="rect">
                      <a:avLst/>
                    </a:prstGeom>
                  </pic:spPr>
                </pic:pic>
              </a:graphicData>
            </a:graphic>
          </wp:inline>
        </w:drawing>
      </w:r>
    </w:p>
    <w:p>
      <w:pPr>
        <w:spacing w:before="0" w:after="40" w:line="312" w:lineRule="auto"/>
        <w:jc w:val="center"/>
        <w:rPr>
          <w:rFonts w:ascii="휴먼명조" w:hAnsi="휴먼명조" w:eastAsia="휴먼명조" w:cs="휴먼명조"/>
          <w:sz w:val="22"/>
          <w:szCs w:val="22"/>
        </w:rPr>
      </w:pPr>
      <w:r>
        <w:rPr>
          <w:rFonts w:ascii="휴먼명조" w:hAnsi="휴먼명조" w:eastAsia="휴먼명조" w:cs="휴먼명조"/>
          <w:sz w:val="22"/>
          <w:szCs w:val="22"/>
        </w:rPr>
        <w:t xml:space="preserve">그림1. 측정 시스템 하드웨어 구성</w:t>
      </w:r>
    </w:p>
    <w:p>
      <w:pPr>
        <w:spacing w:before="0" w:after="100" w:line="312" w:lineRule="auto"/>
        <w:jc w:val="center"/>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AD8232는 디지털 출력이 없으므로 측정된 전위를 파이가 읽으려면 반드시 ADS1115를 거쳐야 한다. RL 전극은 단순 접지가 아니라 RLD 능동 피드백 회로의 출력단이며(Ⅱ장 2절), 이 전극이 접촉한 대상의 임피던스가 루프 안정성을 좌우한다.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ADS1115는 라즈베리파이의 3V3·GND·I2C(SCL·SDA)에 연결하고, A0 채널로 AD8232의 OUTPUT을 받는다. 공통 접지가 확보되지 않으면 두 소자의 기준 전위가 어긋나 측정값이 무의미해지므로 AD8232와 ADS1115의 GND는 반드시 같은 지점에 연결한다. I2C 주소는 기본 0x48이며 i2cdetect로 인식 여부를 확인한다. 핀 번호 단위의 배선표는 부록의 저장소 README에 있다.</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(2) 전극 배치와 기준 전위</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세 전극의 역할은 서로 다르다. RA·LA는 측정 전극으로 줄기 표면의 서로 떨어진 두 지점에 부착해 그 사이의 전위차를 잰다. 반면 RL은 기준 전극으로, 단순한 접지가 아니라 RLD 능동 피드백 회로의 출력단이다(Ⅱ장 2절 (2)).</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RL이 안정적인 기준 전위를 잡지 못하면 AD8232의 출력이 전원 레일에 붙어 포화된다. 포화된 구간에서는 입력이 변해도 출력이 움직이지 않으므로, 그 데이터로는 어떤 분석도 성립하지 않는다.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따라서 측정을 시작하기 전에 출력 기준점이 전원 범위의 중간 부근에 있는지부터 확인해야 한다. 기준점이 상단이나 하단 레일에 붙어 있으면 전극 배치를 먼저 바로잡고, 그 뒤에 데이터를 수집한다. 본 연구에서 이 확인 절차가 왜 필요한지는 Ⅳ장 3절 (3)에서 다룬다.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직접 촬영 삽입 · 그림2</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실험 장치 전체 사진 — 화분·브레드보드·라즈베리파이가 한 프레임에</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직접 촬영 삽입 · 그림3</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전극 부착 상태 근접 사진 — RA·LA 밀착 정도와 토양 속 RL</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(3) 신호 획득 설정</w:t>
      </w:r>
    </w:p>
    <w:p>
      <w:pPr>
        <w:keepNext/>
        <w:spacing w:before="0" w:after="60" w:line="312" w:lineRule="auto"/>
        <w:jc w:val="center"/>
        <w:rPr>
          <w:rFonts w:ascii="휴먼명조" w:hAnsi="휴먼명조" w:eastAsia="휴먼명조" w:cs="휴먼명조"/>
          <w:sz w:val="22"/>
          <w:szCs w:val="22"/>
        </w:rPr>
      </w:pPr>
      <w:r>
        <w:rPr>
          <w:rFonts w:ascii="휴먼명조" w:hAnsi="휴먼명조" w:eastAsia="휴먼명조" w:cs="휴먼명조"/>
          <w:sz w:val="22"/>
          <w:szCs w:val="22"/>
        </w:rPr>
        <w:t xml:space="preserve">표2. 신호 획득 파라미터</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3120"/>
        <w:gridCol w:w="3120"/>
        <w:gridCol w:w="3120"/>
      </w:tblGrid>
      <w:tr>
        <w:trPr>
          <w:tblHeader/>
        </w:trPr>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항목</w:t>
            </w:r>
          </w:p>
        </w:tc>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설정값</w:t>
            </w:r>
          </w:p>
        </w:tc>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근거</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샘플링 주파수</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250 Hz</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분석 대역 상한 20 Hz의 나이퀴스트 조건 충족</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ADC 데이터레이트</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860 SPS</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250 Hz 달성에 필요한 최소 설정</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ADC 변환 모드</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연속변환</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싱글샷은 샘플당 8 ms 이상</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I2C 클럭</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400 kHz</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기본 100 kHz는 대역폭 부족</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대역통과 필터</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0.5 – 20 Hz</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하한은 AD8232 아날로그 대역이 정한 값, 상한은 신호가 희박한 20–40 Hz 잡음 배제</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노치 필터</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60 Hz</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국내 상용전원. 신호에서 50/60 Hz를 재어 자동 판별</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분석 창 길이</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10 초 (2,500 샘플)</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동일 센서 선행연구의 구간 3–15초[22][23] 범위 내</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창 이동 간격</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 초</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80 % 중첩으로 표본 수 확보</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STFT 조각 길이</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512 샘플</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주파수 간격 0.49 Hz — 관심 대역 41구간</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전극 안정화 대기</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20 초</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부착 직후의 접촉 전위·상처 반응 배제</w:t>
            </w:r>
          </w:p>
        </w:tc>
      </w:tr>
    </w:tbl>
    <w:p>
      <w:pPr>
        <w:spacing w:before="0" w:after="80" w:line="312" w:lineRule="auto"/>
        <w:rPr>
          <w:rFonts w:ascii="휴먼명조" w:hAnsi="휴먼명조" w:eastAsia="휴먼명조" w:cs="휴먼명조"/>
          <w:sz w:val="22"/>
          <w:szCs w:val="22"/>
        </w:rPr>
      </w:pP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2. 신호 처리 및 특징 추출</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수집된 원시 전압 시계열은 대역통과·노치 필터를 거쳐 10초 창으로 분할되고, 각 창에서 두 가지 방식으로 특징이 추출된다. 학습 시와 실시간 추론 시에 완전히 동일한 함수를 공유하도록 모듈을 분리하여 학습–서빙 간 불일치를 구조적으로 차단했다.</w:t>
      </w:r>
    </w:p>
    <w:p>
      <w:pPr>
        <w:keepNext/>
        <w:spacing w:before="120" w:after="60"/>
        <w:jc w:val="center"/>
      </w:pPr>
      <w:r>
        <w:drawing>
          <wp:inline distT="0" distB="0" distL="0" distR="0">
            <wp:extent cx="4950000" cy="1243000"/>
            <wp:effectExtent l="0" t="0" r="0" b="0"/>
            <wp:docPr id="2" name="Picture 2"/>
            <wp:cNvGraphicFramePr/>
            <a:graphic xmlns:a="http://schemas.openxmlformats.org/drawingml/2006/main">
              <a:graphicData uri="http://schemas.openxmlformats.org/drawingml/2006/picture">
                <pic:pic xmlns:pic="http://schemas.openxmlformats.org/drawingml/2006/picture">
                  <pic:nvPicPr>
                    <pic:cNvPr id="2" name="p1.png"/>
                    <pic:cNvPicPr/>
                  </pic:nvPicPr>
                  <pic:blipFill>
                    <a:blip r:embed="rId101"/>
                    <a:stretch>
                      <a:fillRect/>
                    </a:stretch>
                  </pic:blipFill>
                  <pic:spPr>
                    <a:xfrm>
                      <a:off x="0" y="0"/>
                      <a:ext cx="4950000" cy="1243000"/>
                    </a:xfrm>
                    <a:prstGeom prst="rect">
                      <a:avLst/>
                    </a:prstGeom>
                  </pic:spPr>
                </pic:pic>
              </a:graphicData>
            </a:graphic>
          </wp:inline>
        </w:drawing>
      </w:r>
    </w:p>
    <w:p>
      <w:pPr>
        <w:spacing w:before="0" w:after="40" w:line="312" w:lineRule="auto"/>
        <w:jc w:val="center"/>
        <w:rPr>
          <w:rFonts w:ascii="휴먼명조" w:hAnsi="휴먼명조" w:eastAsia="휴먼명조" w:cs="휴먼명조"/>
          <w:sz w:val="22"/>
          <w:szCs w:val="22"/>
        </w:rPr>
      </w:pPr>
      <w:r>
        <w:rPr>
          <w:rFonts w:ascii="휴먼명조" w:hAnsi="휴먼명조" w:eastAsia="휴먼명조" w:cs="휴먼명조"/>
          <w:sz w:val="22"/>
          <w:szCs w:val="22"/>
        </w:rPr>
        <w:t xml:space="preserve">그림4. 신호 처리 및 학습 파이프라인</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3. 분류 모델 및 검증 설계</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(1) 학습 알고리즘</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SVM(선형·RBF 커널)과 Random Forest를 각각 GridSearchCV로 하이퍼파라미터를 탐색해 학습하고 비교했다[4]. 픽셀 방식은 표준화 후 PCA로 차원을 축소했고, 명시적 특징 방식은 표준화만 적용했다.</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(2) 데이터 누수 차단</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10초 창을 2초 간격으로 이동시키므로 인접한 두 창은 80 %가 물리적으로 동일한 신호를 공유한다. 무작위 분할을 쓰면 겹치는 창이 학습·평가 양쪽에 들어가 정확도가 부풀려진다. 이를 막기 위해 원본 파일별로 창을 시간순 정렬 후 앞부분 70 %를 학습, 뒷부분 30 %를 평가로 나누고, 경계에서 겹치는 창을 폐기했다. 폐기할 개수는 창 길이 W와 이동 간격 S에서 ⌈W/S⌉ − 1로 계산한다. 본 연구의 설정(10초 창, 2초 이동)에서는 4개다.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이 값을 상수로 고정하면 창 설정을 바꿀 때 누수가 되살아난다. 실제로 본 연구는 창을 2초에서 10초로 변경한 뒤에도 폐기 개수를 1로 두고 있었으며, 그 동안 학습 구간의 마지막 창이 평가 구간의 앞쪽 창 4개와 시간적으로 겹친 상태로 평가되었다. 이는 Ⅳ장 2절 (4)에서 다루는 "높은 정확도가 그 자체로는 타당성을 보장하지 않는다"는 문제가 본 연구의 코드 안에서 재현된 사례이며, 분할 파라미터를 데이터 생성 조건에서 유도해야 하는 이유를 보여준다.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4. 실험 설계</w:t>
      </w:r>
    </w:p>
    <w:p>
      <w:pPr>
        <w:keepNext/>
        <w:spacing w:before="0" w:after="60" w:line="312" w:lineRule="auto"/>
        <w:jc w:val="center"/>
        <w:rPr>
          <w:rFonts w:ascii="휴먼명조" w:hAnsi="휴먼명조" w:eastAsia="휴먼명조" w:cs="휴먼명조"/>
          <w:sz w:val="22"/>
          <w:szCs w:val="22"/>
        </w:rPr>
      </w:pPr>
      <w:r>
        <w:rPr>
          <w:rFonts w:ascii="휴먼명조" w:hAnsi="휴먼명조" w:eastAsia="휴먼명조" w:cs="휴먼명조"/>
          <w:sz w:val="22"/>
          <w:szCs w:val="22"/>
        </w:rPr>
        <w:t xml:space="preserve">표3. 상태별 데이터 수집 조건</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2340"/>
        <w:gridCol w:w="2340"/>
        <w:gridCol w:w="2340"/>
        <w:gridCol w:w="2340"/>
      </w:tblGrid>
      <w:tr>
        <w:trPr>
          <w:tblHeader/>
        </w:trPr>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상태</w:t>
            </w:r>
          </w:p>
        </w:tc>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성격</w:t>
            </w:r>
          </w:p>
        </w:tc>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수집 조건</w:t>
            </w:r>
          </w:p>
        </w:tc>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측정 길이</w:t>
            </w:r>
          </w:p>
        </w:tc>
      </w:tr>
      <w:tr>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정상</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지속 상태</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충분히 관수한 상태에서 5분간 무접촉 방치</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300 s</w:t>
            </w:r>
          </w:p>
        </w:tc>
      </w:tr>
      <w:tr>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자극</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순간 이벤트</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5분간 10–20초 간격으로 잎·줄기에 반복 접촉</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300 s</w:t>
            </w:r>
          </w:p>
        </w:tc>
      </w:tr>
      <w:tr>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수분부족</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지속 상태</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관수 중단 후 3–5일 경과 시점에 측정</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300 s</w:t>
            </w:r>
          </w:p>
        </w:tc>
      </w:tr>
    </w:tbl>
    <w:p>
      <w:pPr>
        <w:spacing w:before="0" w:after="80" w:line="312" w:lineRule="auto"/>
        <w:rPr>
          <w:rFonts w:ascii="휴먼명조" w:hAnsi="휴먼명조" w:eastAsia="휴먼명조" w:cs="휴먼명조"/>
          <w:sz w:val="22"/>
          <w:szCs w:val="22"/>
        </w:rPr>
      </w:pP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분류기가 학습한 것이 식물 반응인지 검증하기 위해 두 가지 대조실험을 함께 설계했다(Ⅳ장 3절). 하나는 접촉 주체와 접촉 매개를 바꾸어 인체 전위 결합 여부를 가리는 4조건 실험이고, 다른 하나는 (가) 배선을 고정한 채 식물체만 접촉하는 조건과 (나) 식물은 건드리지 않고 전극 연결부·배선만 흔드는 조건을 비교해 물리적 흔들림에 의한 잡음을 가려내는 진동 아티팩트 실험이다.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5. 재현성 및 소스코드 공개</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본 연구의 수집·전처리·학습·실시간 추론에 사용한 전체 소스코드는 GitHub 저장소[7]에 공개되어 있다. 부록 1절의 모듈 구성과 저장소 README의 재현 절차를 따르면 동일한 측정 시스템을 재구성할 수 있다. 학습–추론 간 특징 추출 함수를 공유하도록 설계했으므로(Ⅲ장 2절), 저장소의 코드만으로 학습 시와 동일한 조건의 실시간 분류가 재현된다.</w:t>
      </w:r>
    </w:p>
    <w:p>
      <w:pPr>
        <w:keepNext/>
        <w:spacing w:before="200" w:after="200" w:line="312" w:lineRule="auto"/>
        <w:rPr>
          <w:rFonts w:ascii="휴먼명조" w:hAnsi="휴먼명조" w:eastAsia="휴먼명조" w:cs="휴먼명조"/>
          <w:b/>
          <w:bCs/>
          <w:sz w:val="28"/>
          <w:szCs w:val="28"/>
        </w:rPr>
      </w:pPr>
      <w:r>
        <w:rPr>
          <w:rFonts w:ascii="휴먼명조" w:hAnsi="휴먼명조" w:eastAsia="휴먼명조" w:cs="휴먼명조"/>
          <w:b/>
          <w:bCs/>
          <w:sz w:val="28"/>
          <w:szCs w:val="28"/>
        </w:rPr>
        <w:t xml:space="preserve">Ⅳ. 연구 결과</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연구 결과 해석 및 논의 서술</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1. 신호 획득 및 특징 추출 결과</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측정 시스템은 구현을 마쳤으나, 보고서에 실을 만한 안정적인 측정 데이터는 아직 확보하지 못했다. 3절에서 서술하듯 전극 접촉과 배선 진동에서 비롯된 잡음이 신호를 지배하고 있어, 획득한 파형을 식물의 전기신호로 제시할 수 없는 상태다. 파형·스펙트로그램·특징 추출 결과는 아래 조건을 갖춘 재측정 이후에 제시한다.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데이터 수집 후 삽입 · 그림5–7</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상태별 원신호 파형 · 접촉 이벤트 구간 · 10초 창 스펙트로그램</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2. 측정계 결함의 발견과 제거</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학습을 시도하는 과정에서 네 가지 측정계 결함이 발견되었다. 이 중 셋은 제거하기 전까지 분류기가 식물 신호가 아닌 것을 학습하게 만들었다. 아래는 각 결함의 내용과 소스코드에 반영한 해결 방법이며, 개선 폭을 보이는 정량 수치는 재측정 후 채운다.</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(1) 실효 샘플레이트 왜곡</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ADS1115의 초기 설정(128 SPS · 싱글샷)에서는 읽을 때마다 변환을 시작하고 끝날 때까지 기다리므로 한 샘플에 8 ms 이상이 소요된다. 목표한 250 Hz에 크게 못 미치는 속도인데, 필터와 스펙트로그램은 여전히 250 Hz를 가정하므로 모든 주파수 성분이 그 비율만큼 밀려서 해석된다.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해결. I2C 클럭 400 kHz, data_rate=860, 연속변환 모드로 변경했다. 아울러 저장 파일에 가정한 격자(i/fs)가 아니라 실제 경과 시각을 기록하도록 바꿔, 하드웨어가 목표 속도를 못 따라가더라도 전처리가 CSV의 시각으로부터 샘플레이트를 역산하게 했다.</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(2) 상용전원 유도잡음의 주파수 판별</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초기 코드의 노치 필터는 50 Hz로 고정되어 있었으나 한국의 상용전원은 60 Hz이므로 이 필터는 실측 데이터에서 아무 일도 하지 않았다. 전극과 식물이 안테나 역할을 해 전등·콘센트의 교류를 그대로 유입시키는데, 정작 그것을 제거해야 할 필터가 다른 주파수를 겨냥하고 있었던 것이다.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해결. 신호에서 50 Hz와 60 Hz의 파워를 직접 측정해 강한 쪽을 노치하는 자동 판별 로직을 구현하고, 판별한 주파수를 모델 번들에 함께 저장해 추론 시에도 학습과 동일한 필터가 적용되도록 했다.</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(3) 이벤트 라벨링 오류</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자극은 정상·수분부족과 달리 순간 이벤트다. 5분을 수집해도 실제 반응이 담긴 구간은 짧고 나머지는 조용한 기저선인데, 파일 하나를 통째로 “자극”으로 라벨링하면 학습 데이터의 대부분이 “조용한 신호 = 자극”이라는 잘못된 대응을 가르치게 된다. 실시간에서는 대부분의 입력이 조용하므로 모델이 계속 “자극”을 출력한다.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해결. 자극 클래스에 한해 파일 내 피크투피크 중앙값의 2배를 넘는 창만 학습에 쓰도록 선별 단계를 추가했다. 표준편차가 아니라 피크투피크를 기준으로 삼은 것은, 반응 스파이크가 창 안에서 수십 ms만 튀기 때문에 표준편차로는 조용한 구간에 묻히기 때문이다.</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(4) 클래스 간 전극 조건 불일치</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선별을 적용한 뒤에도 실시간 추론이 개선되지 않아 원본을 재검토한 결과, 두 클래스의 전압 기준점 자체가 달랐다는 사실이 드러났다. 한쪽은 기준점이 0 V에 붙어 전극이 사실상 미접촉 상태였던 반면 다른 쪽은 정상 범위에 있었다. 즉 두 클래스가 서로 다른 하드웨어 조건에서 수집된 것이다.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이는 1차 결과의 재해석을 요구한다. 1차 학습에서 얻은 높은 정확도는 식물의 생리 반응을 구분한 결과가 아니라 “전극이 제대로 붙어 있었는가”라는 측정 조건의 차이를 학습한 결과였다. 실시간에서 계속 “자극”이 출력된 것도 이와 일관된다 — 전극이 정상 부착된 상태는 모델 입장에서 학습된 “자극” 조건과 같기 때문이다.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해결. 모든 클래스를 동일한 전극 조건에서 재수집하도록 프로토콜을 고쳤다. 아울러 창 단위로 전원 레일 포화를 검사해 학습에서 제외하는 품질 게이트를 추가했다.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3. 검출 신호의 출처 검증</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위 결함을 교정한 뒤 실시간 추론에서 접촉 시 “자극” 판정이 나타났다. 그러나 이 판정이 식물의 반응인지, 접촉 과정에서 함께 유입된 다른 요인인지 확인할 필요가 있었다. 의심되는 경로는 두 가지이며, 본 보고서 작성 시점에서 어느 쪽도 검증을 마치지 못했다.</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(1) 배선 진동에 의한 접촉 잡음의 배제</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잎을 건드릴 때 리드선도 함께 흔들리면 접촉 저항이 순간적으로 변해 큰 전압 변동이 생긴다. 이 변동은 파형만으로는 식물 반응과 구분되지 않으며, 더 큰 문제는 2절 (3)의 이벤트 선별이 피크투피크가 큰 창을 자극으로 고르는 방식이라는 점이다. 배선 진동이 섞이면 걸러지기는커녕 우선적으로 학습 데이터에 선택된다.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실험 수행 후 삽입 · 표4</w:t>
      </w:r>
    </w:p>
    <w:tbl>
      <w:tblPr>
        <w:tblW w:w="9360" w:type="dxa"/>
        <w:jc w:val="center"/>
        <w:tblBorders>
          <w:top w:val="dashed" w:sz="6" w:space="0" w:color="999999"/>
          <w:left w:val="dashed" w:sz="6" w:space="0" w:color="999999"/>
          <w:bottom w:val="dashed" w:sz="6" w:space="0" w:color="999999"/>
          <w:right w:val="dashed" w:sz="6" w:space="0" w:color="999999"/>
        </w:tblBorders>
        <w:tblCellMar>
          <w:top w:w="120" w:type="dxa"/>
          <w:left w:w="160" w:type="dxa"/>
          <w:bottom w:w="120" w:type="dxa"/>
          <w:right w:w="160" w:type="dxa"/>
        </w:tblCellMar>
      </w:tblPr>
      <w:tblGrid>
        <w:gridCol w:w="9360"/>
      </w:tblGrid>
      <w:tr>
        <w:tc>
          <w:tcPr>
            <w:tcW w:w="9360" w:type="dxa"/>
          </w:tcPr>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 진동 아티팩트 대조실험 — 설계</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 (가) 배선·커넥터를 고정한 채 리드선이 붙지 않은 잎을 비전도성 도구로 접촉</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 (나) 식물은 건드리지 않고 리드선·커넥터만 흔들기</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 각 조건 10–20초 측정. 비교 지표는 증폭기 포화 비율과 유효 구간 내 전압 변동으로 한다.</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(나)에서만 반응이 나오면 배선 진동이 독립적인 잡음원임이 확인된다. 단, 증폭기가 전원 레일에 포화된 구간에서 잰 값은 잡음 바닥으로 쓸 수 없으므로, 동작점이 정상 범위에 있는 측정으로만 비교해야 한다.</w:t>
            </w:r>
          </w:p>
        </w:tc>
      </w:tr>
    </w:tbl>
    <w:p>
      <w:pPr>
        <w:spacing w:before="0" w:after="80" w:line="312" w:lineRule="auto"/>
        <w:rPr>
          <w:rFonts w:ascii="휴먼명조" w:hAnsi="휴먼명조" w:eastAsia="휴먼명조" w:cs="휴먼명조"/>
          <w:sz w:val="22"/>
          <w:szCs w:val="22"/>
        </w:rPr>
      </w:pP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(2) 인체 전위 결합의 배제</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또 하나의 의심 경로는 접촉하는 사람의 신체를 통해 유입되는 전위다. 사람의 피부는 잎보다 임피던스가 수백~수천 배 낮으므로(6절 (3)), 실험자가 맨손으로 식물을 만지면 인체를 경유한 신호 경로가 식물 조직을 경유한 경로보다 전기적으로 우세할 수 있다.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실험 수행 후 삽입 · 표5</w:t>
      </w:r>
    </w:p>
    <w:tbl>
      <w:tblPr>
        <w:tblW w:w="9360" w:type="dxa"/>
        <w:jc w:val="center"/>
        <w:tblBorders>
          <w:top w:val="dashed" w:sz="6" w:space="0" w:color="999999"/>
          <w:left w:val="dashed" w:sz="6" w:space="0" w:color="999999"/>
          <w:bottom w:val="dashed" w:sz="6" w:space="0" w:color="999999"/>
          <w:right w:val="dashed" w:sz="6" w:space="0" w:color="999999"/>
        </w:tblBorders>
        <w:tblCellMar>
          <w:top w:w="120" w:type="dxa"/>
          <w:left w:w="160" w:type="dxa"/>
          <w:bottom w:w="120" w:type="dxa"/>
          <w:right w:w="160" w:type="dxa"/>
        </w:tblCellMar>
      </w:tblPr>
      <w:tblGrid>
        <w:gridCol w:w="9360"/>
      </w:tblGrid>
      <w:tr>
        <w:tc>
          <w:tcPr>
            <w:tcW w:w="9360" w:type="dxa"/>
          </w:tcPr>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 접촉 조건에 따른 신호 검출 여부 — 4조건 대조실험 설계</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 조건 ① 회로에 연결된 실험자 A가 맨손으로 잎·줄기 접촉</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 조건 ② 회로와 무관한 실험자 B가 맨손으로 같은 부위 접촉</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 조건 ③ 실험자 A가 비전도성 도구(나무젓가락 등)로 접촉</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 조건 ④ 실험자 B가 A의 팔을 잡은 채 맨손으로 접촉</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 각 조건마다 CSV와 대시보드 판정 결과를 함께 기록</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조건 ②와 ④의 차이는 B가 A와 신체 접촉을 했는가 하나뿐이므로, 두 조건의 결과가 다르면 인체 전위 결합이 실재한다는 직접 증거가 된다. 조건 ③은 반대 방향에서 같은 결론을 준다.</w:t>
            </w:r>
          </w:p>
        </w:tc>
      </w:tr>
    </w:tbl>
    <w:p>
      <w:pPr>
        <w:spacing w:before="0" w:after="80" w:line="312" w:lineRule="auto"/>
        <w:rPr>
          <w:rFonts w:ascii="휴먼명조" w:hAnsi="휴먼명조" w:eastAsia="휴먼명조" w:cs="휴먼명조"/>
          <w:sz w:val="22"/>
          <w:szCs w:val="22"/>
        </w:rPr>
      </w:pP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(3) 기준전극 조건</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위 두 검증에 앞서 측정계가 정상 동작점에 있는지부터 확보해야 한다. 예비 측정에서 기준전극(RL)의 위치에 따라 증폭기 출력이 전원 레일에 포화되는 경우가 관찰되었다. 포화된 구간에서는 입력이 변해도 출력이 움직이지 않으므로, 그 데이터로는 어떤 대조실험도 성립하지 않는다. 따라서 RL 위치별로 출력이 정상 범위에 머무는 비율을 먼저 확인한 뒤, 그 조건에서 (1)과 (2)를 수행한다.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측정 후 삽입 · 표6</w:t>
      </w:r>
    </w:p>
    <w:tbl>
      <w:tblPr>
        <w:tblW w:w="9360" w:type="dxa"/>
        <w:jc w:val="center"/>
        <w:tblBorders>
          <w:top w:val="dashed" w:sz="6" w:space="0" w:color="999999"/>
          <w:left w:val="dashed" w:sz="6" w:space="0" w:color="999999"/>
          <w:bottom w:val="dashed" w:sz="6" w:space="0" w:color="999999"/>
          <w:right w:val="dashed" w:sz="6" w:space="0" w:color="999999"/>
        </w:tblBorders>
        <w:tblCellMar>
          <w:top w:w="120" w:type="dxa"/>
          <w:left w:w="160" w:type="dxa"/>
          <w:bottom w:w="120" w:type="dxa"/>
          <w:right w:w="160" w:type="dxa"/>
        </w:tblCellMar>
      </w:tblPr>
      <w:tblGrid>
        <w:gridCol w:w="9360"/>
      </w:tblGrid>
      <w:tr>
        <w:tc>
          <w:tcPr>
            <w:tcW w:w="9360" w:type="dxa"/>
          </w:tcPr>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 기준전극(RL) 위치별 출력 안정성</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RL을 어디에 두었을 때 증폭기가 정상 동작점에 머무는지 비교한다. 조건마다 자극 없이 30초씩 수집한다.</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 비교할 조건: 줄기 부착 · 토양 삽입 · 회로 접지 직결</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 기록할 값: 상단 레일 포화 비율 · 하단 레일 포화 비율 · 유효 구간 비율 · 유효 구간의 평균 전압</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 같은 조건을 2–3회 반복해 재현되는지 함께 확인</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유효 구간 비율이 가장 높고 평균 전압이 전원 범위 중앙에 가까운 조건을 이후 측정에 사용한다.</w:t>
            </w:r>
          </w:p>
        </w:tc>
      </w:tr>
    </w:tbl>
    <w:p>
      <w:pPr>
        <w:spacing w:before="0" w:after="80" w:line="312" w:lineRule="auto"/>
        <w:rPr>
          <w:rFonts w:ascii="휴먼명조" w:hAnsi="휴먼명조" w:eastAsia="휴먼명조" w:cs="휴먼명조"/>
          <w:sz w:val="22"/>
          <w:szCs w:val="22"/>
        </w:rPr>
      </w:pP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(4) 음성 대조군 — 식물 없이 같은 신호가 나오는가</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위 (1)~(3)이 오염 경로를 하나씩 배제하는 방식이라면, 음성 대조군은 반대 방향에서 같은 질문에 답한다. 식물을 빼고 측정계만 남겼을 때도 같은 분류가 되는지를 보는 것이다. 이때도 정확도가 유지된다면 그 정확도는 식물이 아니라 측정계 자체에서 나온 것이다.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선행연구는 이 목적으로 두 가지 대조를 쓴다[24]. 도체 대조(sham)는 식물 대신 알루미늄 호일에 전극을 동일한 간격·배치로 붙여 같은 절차로 수집·학습하는 것으로, 해당 연구에서 이 조건의 정확도는 우연 수준으로 떨어졌다 — 유의미한 분류에 살아 있는 식물이 필요함을 뜻한다. 사체 대조는 살아 있는 세포가 남지 않도록 오래 건조시킨 가지를 같은 화분 흙에 꽂고 동일하게 측정하는 것이다.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실험 수행 후 삽입 · 표7</w:t>
      </w:r>
    </w:p>
    <w:tbl>
      <w:tblPr>
        <w:tblW w:w="9360" w:type="dxa"/>
        <w:jc w:val="center"/>
        <w:tblBorders>
          <w:top w:val="dashed" w:sz="6" w:space="0" w:color="999999"/>
          <w:left w:val="dashed" w:sz="6" w:space="0" w:color="999999"/>
          <w:bottom w:val="dashed" w:sz="6" w:space="0" w:color="999999"/>
          <w:right w:val="dashed" w:sz="6" w:space="0" w:color="999999"/>
        </w:tblBorders>
        <w:tblCellMar>
          <w:top w:w="120" w:type="dxa"/>
          <w:left w:w="160" w:type="dxa"/>
          <w:bottom w:w="120" w:type="dxa"/>
          <w:right w:w="160" w:type="dxa"/>
        </w:tblCellMar>
      </w:tblPr>
      <w:tblGrid>
        <w:gridCol w:w="9360"/>
      </w:tblGrid>
      <w:tr>
        <w:tc>
          <w:tcPr>
            <w:tcW w:w="9360" w:type="dxa"/>
          </w:tcPr>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 음성 대조군 — 도체 대조와 사체 대조</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본 연구의 측정계로 다음 세 조건을 동일한 절차(전극 간격, 안정화 대기, 수집 길이, 전처리, 학습)로 수행하고 분류 정확도를 비교한다.</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 조건 ㉮ 살아 있는 방울토마토 — 기준 조건</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 조건 ㉯ 알루미늄 호일에 동일 간격으로 전극 부착 (도체 대조)</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 조건 ㉰ 말린 가지를 같은 흙에 꽂고 전극 부착 (사체 대조)</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㉯·㉰에서도 ㉮와 비슷한 정확도가 나오면, 그 정확도는 식물 반응이 아니라 측정계·환경에서 유래한 것이다. 반대로 우연 수준(3분류에서 33 % 부근)으로 떨어지면 ㉮의 정확도가 식물에서 왔다는 근거가 된다.</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사전 검증 — 분석 절차 자체가 우연 이상을 만들어내지는 않는가. 음성 대조군이 의미를 가지려면 대조군의 낮은 정확도가 “신호가 없어서”임이 보장되어야 한다. 절차가 입력과 무관하게 높은 정확도를 만들어내는 구조라면 대조 자체가 성립하지 않는다. 이를 확인하기 위해 세 상태가 통계적으로 완전히 동일한 모의 신호(동일 분산의 백색잡음 + 동일한 전원 성분)를 생성해 본 연구의 전처리·학습 절차를 그대로 적용한 결과, SVM 31.4 %, Random Forest 39.2 %로 3분류 우연 수준(33.3 %) 부근이었다. 따라서 실제 음성 대조군에서 높은 정확도가 관측된다면 그것은 절차의 산물이 아니라 측정계 또는 환경에서 실제로 유입된 신호로 해석해야 한다.</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이 검증은 모의 신호로 수행한 것이며 측정계를 통과한 실제 신호에 대한 결과가 아니다. 아울러 학습·평가 분할이 Ⅲ장 3절 (2)대로 시간적 겹침을 배제하는지 함께 확인하는 절차이기도 하다 — 경계 창 폐기가 불충분하면 이 조건에서도 정확도가 부풀려진다.</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이 대조는 추가 장비 없이 수행할 수 있으며, 본 연구가 확인하지 못한 채 남겨 둔 가장 근본적인 질문에 직접 답한다는 점에서 후속 측정의 최우선 항목이다.</w:t>
            </w:r>
          </w:p>
        </w:tc>
      </w:tr>
    </w:tbl>
    <w:p>
      <w:pPr>
        <w:spacing w:before="0" w:after="80" w:line="312" w:lineRule="auto"/>
        <w:rPr>
          <w:rFonts w:ascii="휴먼명조" w:hAnsi="휴먼명조" w:eastAsia="휴먼명조" w:cs="휴먼명조"/>
          <w:sz w:val="22"/>
          <w:szCs w:val="22"/>
        </w:rPr>
      </w:pP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4. 분류 성능</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3절의 검증을 통과한 조건에서 수집한 데이터로 학습과 평가를 수행한다. 평가는 Ⅲ장 3절 (2)의 시간순 그룹 분할을 적용해 인접 창의 중첩으로 정확도가 부풀려지지 않도록 한다. 본 보고서 작성 시점에서는 측정계를 안정시키지 못해 실측 데이터로 학습한 결과가 없다.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학습 후 삽입 · 표8</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과제·특징 방식별 분류 성능 (정확도·Precision·Recall, 목표 70 % 대비)</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학습 후 삽입 · 그림8</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최적 모델의 혼동행렬</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5. 연구 목표 대비 달성 현황</w:t>
      </w:r>
    </w:p>
    <w:p>
      <w:pPr>
        <w:keepNext/>
        <w:spacing w:before="0" w:after="60" w:line="312" w:lineRule="auto"/>
        <w:jc w:val="center"/>
        <w:rPr>
          <w:rFonts w:ascii="휴먼명조" w:hAnsi="휴먼명조" w:eastAsia="휴먼명조" w:cs="휴먼명조"/>
          <w:sz w:val="22"/>
          <w:szCs w:val="22"/>
        </w:rPr>
      </w:pPr>
      <w:r>
        <w:rPr>
          <w:rFonts w:ascii="휴먼명조" w:hAnsi="휴먼명조" w:eastAsia="휴먼명조" w:cs="휴먼명조"/>
          <w:sz w:val="22"/>
          <w:szCs w:val="22"/>
        </w:rPr>
        <w:t xml:space="preserve">표9. 연구 목표별 달성 여부</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3120"/>
        <w:gridCol w:w="3120"/>
        <w:gridCol w:w="3120"/>
      </w:tblGrid>
      <w:tr>
        <w:trPr>
          <w:tblHeader/>
        </w:trPr>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세부 목표</w:t>
            </w:r>
          </w:p>
        </w:tc>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결과</w:t>
            </w:r>
          </w:p>
        </w:tc>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비고</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250 Hz 안정 획득</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검증 필요</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설정은 마쳤으나 실측값 미기록</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브라우저 통합 시스템</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달성</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수집–전처리–학습–추론 전 과정</w:t>
            </w:r>
          </w:p>
        </w:tc>
      </w:tr>
      <w:tr>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정상 · 자극 2상태 분류</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보류</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분류는 동작하나 신호 출처 미검증(3절)</w:t>
            </w:r>
          </w:p>
        </w:tc>
      </w:tr>
      <w:tr>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수분부족 포함 3상태 분류</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미달성</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현 장비로 해당 대역 측정 불가(6절)</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정확도 70 % 이상</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검증 필요</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3상태 실측 학습이 아직 성립하지 않음</w:t>
            </w:r>
          </w:p>
        </w:tc>
      </w:tr>
    </w:tbl>
    <w:p>
      <w:pPr>
        <w:spacing w:before="0" w:after="80" w:line="312" w:lineRule="auto"/>
        <w:rPr>
          <w:rFonts w:ascii="휴먼명조" w:hAnsi="휴먼명조" w:eastAsia="휴먼명조" w:cs="휴먼명조"/>
          <w:sz w:val="22"/>
          <w:szCs w:val="22"/>
        </w:rPr>
      </w:pP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시스템 구현 목표는 달성했으나 주 목적인 분류 목표는 아직 검증되지 않았다. 다음 절에서 그 구조적 원인을 분석한다.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6. 측정계의 구조적 한계</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위 결과들이 공통으로 가리키는 문제를 문헌 조사와 실측값 대조로 분석한 결과, 원인은 개별 실수가 아니라 측정 장비의 설계 목적과 측정 대상의 물리적 특성이 어긋난 데 있었다.</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(1) 통과대역 불일치</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AD8232의 0.5 Hz 고역통과–40 Hz 저역통과 고정 대역은[8] 심전도 QRS 복합파(10–25 Hz)에 맞춰진 것이다. 이 대역에 세 상태의 신호가 어떻게 놓이는지를 지속시간으로 환산해 보면 다음과 같다.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활동전위 — 문헌이 보고하는 식물 과도 전기신호의 지속시간은 0.025–2초다[9]. 주파수로는 대략 0.5–40 Hz로, 공교롭게도 AD8232의 통과대역과 거의 겹친다. 즉 접촉 반응의 빠른 과도 성분은 통과한다.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변동전위 — 지속 수 분~수십 분[13]이므로 10⁻³ Hz 이하. 통과대역 밖이다.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수분 스트레스 — 수 시간~수 일 규모이므로 10⁻⁴ Hz 수준. 역시 통과대역 밖이며, 감쇠량은 100 dB를 넘는다.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따라서 이 회로로 자극은 원리적으로 잡을 가능성이 있고, 수분부족은 원리적으로 잡을 수 없다. 다만 고역통과가 느린 기준점 이동을 지우므로, 통과하는 것은 파형 전체가 아니라 빠른 가장자리뿐이다. 다만 이는 대역 계산에서 나온 가능성일 뿐 실측으로 확인하지 못했다(3절). 즉 수분부족은 불가능함이 증명된 반면 자극은 미검증으로, 둘의 성격이 다르다.</w:t>
      </w:r>
    </w:p>
    <w:p>
      <w:pPr>
        <w:keepNext/>
        <w:spacing w:before="120" w:after="60"/>
        <w:jc w:val="center"/>
      </w:pPr>
      <w:r>
        <w:drawing>
          <wp:inline distT="0" distB="0" distL="0" distR="0">
            <wp:extent cx="4950000" cy="1411276"/>
            <wp:effectExtent l="0" t="0" r="0" b="0"/>
            <wp:docPr id="3" name="Picture 3"/>
            <wp:cNvGraphicFramePr/>
            <a:graphic xmlns:a="http://schemas.openxmlformats.org/drawingml/2006/main">
              <a:graphicData uri="http://schemas.openxmlformats.org/drawingml/2006/picture">
                <pic:pic xmlns:pic="http://schemas.openxmlformats.org/drawingml/2006/picture">
                  <pic:nvPicPr>
                    <pic:cNvPr id="3" name="p2.png"/>
                    <pic:cNvPicPr/>
                  </pic:nvPicPr>
                  <pic:blipFill>
                    <a:blip r:embed="rId102"/>
                    <a:stretch>
                      <a:fillRect/>
                    </a:stretch>
                  </pic:blipFill>
                  <pic:spPr>
                    <a:xfrm>
                      <a:off x="0" y="0"/>
                      <a:ext cx="4950000" cy="1411276"/>
                    </a:xfrm>
                    <a:prstGeom prst="rect">
                      <a:avLst/>
                    </a:prstGeom>
                  </pic:spPr>
                </pic:pic>
              </a:graphicData>
            </a:graphic>
          </wp:inline>
        </w:drawing>
      </w:r>
    </w:p>
    <w:p>
      <w:pPr>
        <w:spacing w:before="0" w:after="40" w:line="312" w:lineRule="auto"/>
        <w:jc w:val="center"/>
        <w:rPr>
          <w:rFonts w:ascii="휴먼명조" w:hAnsi="휴먼명조" w:eastAsia="휴먼명조" w:cs="휴먼명조"/>
          <w:sz w:val="22"/>
          <w:szCs w:val="22"/>
        </w:rPr>
      </w:pPr>
      <w:r>
        <w:rPr>
          <w:rFonts w:ascii="휴먼명조" w:hAnsi="휴먼명조" w:eastAsia="휴먼명조" w:cs="휴먼명조"/>
          <w:sz w:val="22"/>
          <w:szCs w:val="22"/>
        </w:rPr>
        <w:t xml:space="preserve">그림9. 식물 전기신호 대역과 AD8232 통과대역의 불일치</w:t>
      </w:r>
    </w:p>
    <w:p>
      <w:pPr>
        <w:spacing w:before="0" w:after="100" w:line="312" w:lineRule="auto"/>
        <w:jc w:val="center"/>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활동전위의 과도 성분(0.025–2초, 곧 0.5–40 Hz)은 통과대역 안에 들어오지만, 변동전위와 수분 스트레스는 밖에 있어 100 dB 이상 감쇠한다.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이 분석은 수분부족 클래스를 확보하지 못한 이유를 다시 쓰게 한다. 보고서 초안은 이를 “시간이 부족해 측정하지 못함”으로 기술했으나, 실제로는 현 장비 구성으로 원리적으로 측정이 불가능했다. 며칠을 말려 데이터를 모아도 고역통과 필터가 신호를 지우므로 정상 데이터와 구분되지 않았을 것이다.</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(2) 신호 진폭과 증폭기 입력 범위</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진폭이 부족해 검출되지 않았다는 해석은 문헌값과 맞지 않는다. 토마토 활동전위의 보고 진폭은 21.2 mV로[12] 생체전위로서 결코 작지 않다. 오히려 그 신호가 증폭기 입력단까지 도달하는지가 문제이며, 근거는 (3)에서 다룬다.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덧붙여, 신호가 온전히 도달했더라도 이 회로는 그 파형을 담지 못한다. AD8232의 심전도 구성은 계측증폭기 100배와 저역통과단 11배를 합해 총 이득이 1100배로[8], 심전도 신호가 500 µV–5 mV라는 전제에 맞춘 값이다. 3.3 V 단전원에서 허용되는 전극 간 입력은 약 ±1.2 mV에 그친다. 문헌이 보고하는 식물 전위는 수 mV~수십 mV이므로[12][13], 그런 신호가 감쇠 없이 도달했다면 작게 기록되는 것이 아니라 레일에서 잘려 포화로 나타났을 것이다. 즉 임피던스로 신호가 훼손되는 경로와 온전할 경우 포화되는 경로가 동시에 존재하여, 현 구성은 어느 쪽에서도 원 파형을 재현할 수 없다 — 1 mV 미만의 작은 과도신호[9]만이 잘리지 않고 통과할 범위에 든다.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위 이득·허용 입력 값은 데이터시트의 심전도 구성을 근거로 계산한 것이며, 직접 측정해 확인한 값은 아니다.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측정 후 삽입 · 그림10</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무자극 정지 상태의 잡음 바닥 — 문헌 진폭 21.2 mV와 같은 축에서 비교</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(3) 전극 임피던스가 만드는 문제</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본 보고서 초안은 이 항목을 “입력 임피던스 부정합”으로 기술하고, 전극 임피던스 Ze와 증폭기 입력 임피던스가 전압 분배기를 이루어 신호가 μV 수준으로 감쇠한다고 설명했다. 데이터시트를 재확인한 결과 이 설명은 성립하지 않는다. AD8232의 차동 입력 임피던스는 10 GΩ ∥ 7.5 pF로[1] 요구 최소치 10 MΩ[10]을 세 자릿수 넘게 상회하여, Ze가 1 GΩ이어도 직류 손실은 9 %에 그친다. 그러나 높은 전극 임피던스가 문제를 일으킨다는 관찰 자체는 유효하며, 그 기전은 전압 분배가 아니라 다음 넷이다(Ze = 1 GΩ 기준).</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오프셋 전류가 만드는 직류 오프셋 — 입력 오프셋 전류 25 pA(typ)[1]가 Ze를 지나며 25 mV를 만든다. (2)의 허용 입력 ±1.23 mV의 20배다. 0.5 Hz 서보가 정적 성분은 상쇄하지만, 접촉이 조금만 흔들려도 증폭기가 레일에 닿는다.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입력 용량과 만드는 저역통과 — 입력 용량 7.5 pF에 리드선 용량(150 pF 가정)이 더해지면 차단 주파수가 1.1 Hz로 내려와 분석 대역(0.5–20 Hz) 한복판에서 신호가 깎인다.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임피던스 불균형에 의한 CMRR 저하 — 두 전극의 임피던스가 다르면 공통모드 60 Hz가 차동으로 변환되어 증폭된다(Ⅱ장 2절 (1)). 실측에서 60 Hz와 그 배수가 전체 파워의 대부분을 차지한 것과 일관된다.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전극 저항의 열잡음 — √(4kTRB) = 17.9 µV(rms, 입력 환산). 문헌의 1 mV 미만 과도신호[9]와 견주면 무시할 수 없다.</w:t>
      </w:r>
    </w:p>
    <w:p>
      <w:pPr>
        <w:keepNext/>
        <w:spacing w:before="120" w:after="60"/>
        <w:jc w:val="center"/>
      </w:pPr>
      <w:r>
        <w:drawing>
          <wp:inline distT="0" distB="0" distL="0" distR="0">
            <wp:extent cx="4950000" cy="1221702"/>
            <wp:effectExtent l="0" t="0" r="0" b="0"/>
            <wp:docPr id="4" name="Picture 4"/>
            <wp:cNvGraphicFramePr/>
            <a:graphic xmlns:a="http://schemas.openxmlformats.org/drawingml/2006/main">
              <a:graphicData uri="http://schemas.openxmlformats.org/drawingml/2006/picture">
                <pic:pic xmlns:pic="http://schemas.openxmlformats.org/drawingml/2006/picture">
                  <pic:nvPicPr>
                    <pic:cNvPr id="4" name="p3.png"/>
                    <pic:cNvPicPr/>
                  </pic:nvPicPr>
                  <pic:blipFill>
                    <a:blip r:embed="rId103"/>
                    <a:stretch>
                      <a:fillRect/>
                    </a:stretch>
                  </pic:blipFill>
                  <pic:spPr>
                    <a:xfrm>
                      <a:off x="0" y="0"/>
                      <a:ext cx="4950000" cy="1221702"/>
                    </a:xfrm>
                    <a:prstGeom prst="rect">
                      <a:avLst/>
                    </a:prstGeom>
                  </pic:spPr>
                </pic:pic>
              </a:graphicData>
            </a:graphic>
          </wp:inline>
        </w:drawing>
      </w:r>
    </w:p>
    <w:p>
      <w:pPr>
        <w:spacing w:before="0" w:after="40" w:line="312" w:lineRule="auto"/>
        <w:jc w:val="center"/>
        <w:rPr>
          <w:rFonts w:ascii="휴먼명조" w:hAnsi="휴먼명조" w:eastAsia="휴먼명조" w:cs="휴먼명조"/>
          <w:sz w:val="22"/>
          <w:szCs w:val="22"/>
        </w:rPr>
      </w:pPr>
      <w:r>
        <w:rPr>
          <w:rFonts w:ascii="휴먼명조" w:hAnsi="휴먼명조" w:eastAsia="휴먼명조" w:cs="휴먼명조"/>
          <w:sz w:val="22"/>
          <w:szCs w:val="22"/>
        </w:rPr>
        <w:t xml:space="preserve">그림11. 전극 임피던스가 만드는 직류 오프셋과 증폭기 허용 입력 범위</w:t>
      </w:r>
    </w:p>
    <w:p>
      <w:pPr>
        <w:spacing w:before="0" w:after="100" w:line="312" w:lineRule="auto"/>
        <w:jc w:val="center"/>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전극 임피던스가 100 MΩ을 넘으면 오프셋만으로 허용 입력을 벗어난다.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첫 항목은 실측에서 관찰한 주기적 fast-restore 재작동(약 168 ms 간격의 순간적 출력 강하)을 그대로 설명한다. fast-restore는 증폭기가 레일에 붙었을 때 동작하는 기능이므로[1], 그 반복은 증폭기가 반복적으로 레일에 닿고 있다는 직접적 증거다. 이 구분은 개선 방향을 바꾼다 — 전압 분배가 원인이라면 입력 임피던스가 더 높은 증폭기가 답이지만, 실제 원인이 위 넷이라면 전극 접촉 개선과 리드선 단축이 먼저다. 또한 사람의 피부는 잎보다 임피던스가 수백~수천 배 낮아 네 기전이 모두 완화되므로, 맨손 접촉 시 인체를 경유한 경로가 식물 조직을 경유한 경로보다 전기적으로 유리해진다 — 3절 (2)의 대조실험이 필요한 이유다.</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(4) 장비 사양 종합 비교</w:t>
      </w:r>
    </w:p>
    <w:p>
      <w:pPr>
        <w:keepNext/>
        <w:spacing w:before="0" w:after="60" w:line="312" w:lineRule="auto"/>
        <w:jc w:val="center"/>
        <w:rPr>
          <w:rFonts w:ascii="휴먼명조" w:hAnsi="휴먼명조" w:eastAsia="휴먼명조" w:cs="휴먼명조"/>
          <w:sz w:val="22"/>
          <w:szCs w:val="22"/>
        </w:rPr>
      </w:pPr>
      <w:r>
        <w:rPr>
          <w:rFonts w:ascii="휴먼명조" w:hAnsi="휴먼명조" w:eastAsia="휴먼명조" w:cs="휴먼명조"/>
          <w:sz w:val="22"/>
          <w:szCs w:val="22"/>
        </w:rPr>
        <w:t xml:space="preserve">표10. 전문 연구 장비와 본 연구 측정계의 사양 비교</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2340"/>
        <w:gridCol w:w="2340"/>
        <w:gridCol w:w="2340"/>
        <w:gridCol w:w="2340"/>
      </w:tblGrid>
      <w:tr>
        <w:trPr>
          <w:tblHeader/>
        </w:trPr>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항목</w:t>
            </w:r>
          </w:p>
        </w:tc>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전문 연구 장비[17]</w:t>
            </w:r>
          </w:p>
        </w:tc>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본 연구 (AD8232)</w:t>
            </w:r>
          </w:p>
        </w:tc>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판정</w:t>
            </w:r>
          </w:p>
        </w:tc>
      </w:tr>
      <w:tr>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결합 방식</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DC 결합 (필터 없음)</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AC, 0.5 Hz 고역통과</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치명적 불일치</w:t>
            </w:r>
          </w:p>
        </w:tc>
      </w:tr>
      <w:tr>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입력 임피던스</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 × 10¹³ Ω</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10¹⁰ Ω (10 GΩ ∥ 7.5 pF)</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요구치 충족</w:t>
            </w:r>
          </w:p>
        </w:tc>
      </w:tr>
      <w:tr>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전극</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Ag/AgCl (토양용 별도)</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심전도 젤 패드 + 토양 직접 삽입</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기준전극 부적합</w:t>
            </w:r>
          </w:p>
        </w:tc>
      </w:tr>
      <w:tr>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ADC 분해능</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24 비트</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16 비트</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허용 가능</w:t>
            </w:r>
          </w:p>
        </w:tc>
      </w:tr>
      <w:tr>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샘플링 주파수</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40 – 100 Hz</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250 Hz</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요구 충족(과잉)</w:t>
            </w:r>
          </w:p>
        </w:tc>
      </w:tr>
    </w:tbl>
    <w:p>
      <w:pPr>
        <w:spacing w:before="0" w:after="80" w:line="312" w:lineRule="auto"/>
        <w:rPr>
          <w:rFonts w:ascii="휴먼명조" w:hAnsi="휴먼명조" w:eastAsia="휴먼명조" w:cs="휴먼명조"/>
          <w:sz w:val="22"/>
          <w:szCs w:val="22"/>
        </w:rPr>
      </w:pP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표10은 본 연구의 사양 불일치를 항목별로 요약한 것이다. 본 연구는 샘플링 주파수를 높이는 데 가장 많은 노력을 투입했으나(Ⅳ장 2절 (1)), 정작 그 항목만 요구 사양을 초과 달성했고 결정적인 두 항목은 처음부터 충족할 수 없는 소자를 선택했다. 측정계 최적화의 방향 자체가 잘못되어 있었던 것이다.</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(5) 기준전극의 분극과 고역통과 정착 시간</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생체전위 측정에는 비분극성 전극이 필요하며 Ag/AgCl이 표준이다. 본 연구가 쓴 심전도 패드는 Ag/AgCl 기반이라 RA·LA에는 적절했으나, 문제는 토양에 삽입하는 기준전극이다. 토양은 피부와 전해질 조성이 전혀 달라 식물 전기생리용으로는 토양 전용 Ag/AgCl 기준전극이 별도로 상용화되어 있을 만큼 요구 조건이 다르다[11]. 일반 패드를 토양에 꽂으면 계면 분극으로 임피던스가 시간에 따라 드리프트하며, 이것이 실험 중 관찰된 RLD 피드백 루프 불안정의 물리적 원인이다. 관수를 해도 개선되지 않은 것은 토양 전체의 수분량과 전극 표면의 국소적·안정적 접촉이 별개 문제이기 때문이다.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또한 0.5 Hz 고역통과 필터는 DC 오프셋이 변할 때 안정화까지 수 초를 요한다[8]. 전극 접촉이 미세하게 변하기만 해도 큰 과도 신호가 생기며, 이는 분류기 입장에서 실제 “자극” 스파이크와 구분되지 않는다.</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(6) 종합</w:t>
      </w:r>
    </w:p>
    <w:p>
      <w:pPr>
        <w:keepNext/>
        <w:spacing w:before="0" w:after="60" w:line="312" w:lineRule="auto"/>
        <w:jc w:val="center"/>
        <w:rPr>
          <w:rFonts w:ascii="휴먼명조" w:hAnsi="휴먼명조" w:eastAsia="휴먼명조" w:cs="휴먼명조"/>
          <w:sz w:val="22"/>
          <w:szCs w:val="22"/>
        </w:rPr>
      </w:pPr>
      <w:r>
        <w:rPr>
          <w:rFonts w:ascii="휴먼명조" w:hAnsi="휴먼명조" w:eastAsia="휴먼명조" w:cs="휴먼명조"/>
          <w:sz w:val="22"/>
          <w:szCs w:val="22"/>
        </w:rPr>
        <w:t xml:space="preserve">표11. 측정계 한계와 개선 방향</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2340"/>
        <w:gridCol w:w="2340"/>
        <w:gridCol w:w="2340"/>
        <w:gridCol w:w="2340"/>
      </w:tblGrid>
      <w:tr>
        <w:trPr>
          <w:tblHeader/>
        </w:trPr>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원인</w:t>
            </w:r>
          </w:p>
        </w:tc>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근거</w:t>
            </w:r>
          </w:p>
        </w:tc>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영향받은 목표</w:t>
            </w:r>
          </w:p>
        </w:tc>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개선 방향</w:t>
            </w:r>
          </w:p>
        </w:tc>
      </w:tr>
      <w:tr>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통과대역 불일치</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0.5 Hz 고역통과[8] vs 수분 스트레스 10⁻⁴ Hz</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수분부족 분류</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DC 결합 증폭기 또는 고역통과 커패시터 교체</w:t>
            </w:r>
          </w:p>
        </w:tc>
      </w:tr>
      <w:tr>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전극 임피던스 과다</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오프셋 전류 × Ze 가 허용 입력 초과, 입력 용량과 저역통과, CMRR 균형 붕괴</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전 클래스</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전극 접촉 개선 · 리드선 단축</w:t>
            </w:r>
          </w:p>
        </w:tc>
      </w:tr>
      <w:tr>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배선 진동 잡음</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3절 (1) — 검증 예정</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자극 분류</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리드선 고정, 진동 차단</w:t>
            </w:r>
          </w:p>
        </w:tc>
      </w:tr>
      <w:tr>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기준전극 분극</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토양 전용 Ag/AgCl 필요[11]</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측정 안정성</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토양용 기준전극 도입</w:t>
            </w:r>
          </w:p>
        </w:tc>
      </w:tr>
      <w:tr>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인체 전위 결합</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3절 (2) — 검증 예정</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자극 분류</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비전도성 도구 자극 프로토콜</w:t>
            </w:r>
          </w:p>
        </w:tc>
      </w:tr>
    </w:tbl>
    <w:p>
      <w:pPr>
        <w:spacing w:before="0" w:after="80" w:line="312" w:lineRule="auto"/>
        <w:rPr>
          <w:rFonts w:ascii="휴먼명조" w:hAnsi="휴먼명조" w:eastAsia="휴먼명조" w:cs="휴먼명조"/>
          <w:sz w:val="22"/>
          <w:szCs w:val="22"/>
        </w:rPr>
      </w:pP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정리하면, 본 연구가 사용한 AD8232는 심박수 검출용으로 대역과 임피던스가 고정된 소자이며, 식물 전기신호 측정에는 사양이 맞지 않는다. 소프트웨어를 아무리 개선해도 아날로그 프런트엔드에서 이미 소실된 신호를 복원할 수는 없다. 이것이 본 연구가 분류 목표를 달성하지 못한 근본 원인이다.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화면 캡처 삽입 · 그림12</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실시간 분류 대시보드 — 파형·확신도·표준편차가 보이는 화면</w:t>
      </w:r>
    </w:p>
    <w:p>
      <w:pPr>
        <w:keepNext/>
        <w:spacing w:before="200" w:after="200" w:line="312" w:lineRule="auto"/>
        <w:rPr>
          <w:rFonts w:ascii="휴먼명조" w:hAnsi="휴먼명조" w:eastAsia="휴먼명조" w:cs="휴먼명조"/>
          <w:b/>
          <w:bCs/>
          <w:sz w:val="28"/>
          <w:szCs w:val="28"/>
        </w:rPr>
      </w:pPr>
      <w:r>
        <w:rPr>
          <w:rFonts w:ascii="휴먼명조" w:hAnsi="휴먼명조" w:eastAsia="휴먼명조" w:cs="휴먼명조"/>
          <w:b/>
          <w:bCs/>
          <w:sz w:val="28"/>
          <w:szCs w:val="28"/>
        </w:rPr>
        <w:t xml:space="preserve">Ⅴ. 결론 및 제언</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1. 결론</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본 연구는 식물의 전기신호로 정상·수분부족·자극 세 상태를 실시간 분류하는 시스템 구축을 목적으로 했으며, 실험 대상으로는 방울토마토를 선정했다. 현재까지 이 목적은 완전히 달성되지 않았으며, 그 원인을 측정계 수준에서 규명하는 데 이르렀다.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달성한 것은 측정 시스템의 구현이다. ADS1115를 연속변환 모드로 바꿔 샘플레이트 병목을 제거했고, 상용전원 주파수를 신호에서 자동 판별해 노치하도록 했다. 브라우저만으로 수집–전처리–학습–추론이 가능한 통합 시스템도 완성했다.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그러나 본 시스템으로 획득한 신호에서는 다음 세 가지 문제가 확인되었다.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초기에 얻은 높은 정확도는 타당한 값이 아니었다. 클래스 간 전극 부착 조건의 차이를 학습한 결과였으며, 실시간 환경에서 즉시 무너졌다.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정상·자극 구분처럼 보였던 반응이 식물의 것인지 확인하지 못했다. 배선 진동과 인체 전위 결합이라는 두 가지 오염 경로를 배제하는 대조실험을 설계했으나(Ⅳ장 3절), 측정계를 정상 동작점에 안정시키지 못해 아직 수행하지 못했다.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수분부족은 현 장비로 측정이 불가능하다. AD8232의 0.5 Hz 고역통과 필터가 수분 스트레스 대역(10⁻⁴ Hz)을 원리적으로 차단하기 때문이다(그림9).</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근본 원인은 측정 장비의 사양이 측정 대상에 맞지 않았다는 것이다. 문헌의 토마토 활동전위는 21.2 mV로[12] 작지 않으므로 “신호가 너무 작아서”로 돌리기는 어렵다. 불일치는 둘이다(표10). 첫째, 전문 장비가 DC 결합인 반면 AD8232는 0.5 Hz 고역통과가 고정이라 느린 신호를 통과시키지 못한다. 둘째, 입력 임피던스 자체는 요구치를 충족하므로 전압 분배에 의한 감쇠는 원인이 아니고, 큐티클을 통한 MΩ~GΩ의 접촉 임피던스가 오프셋 전류와 곱해져 허용 입력 범위를 넘는 직류 오프셋을 만드는 것이 문제다(Ⅳ장 6절 (3)).</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본 연구는 이 두 항목이 아니라 샘플링 주파수를 높이는 데 가장 많은 노력을 투입했다. 그래서 샘플링만 문헌 권장치(40–100 Hz)를 두 배 넘게 초과했고, 정작 결정적인 두 항목은 소자를 고르는 순간 이미 결정되어 있었다. 최적화의 방향 자체를 다시 잡아야 한다는 것이 이 연구의 가장 중요한 교훈이다.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2. 연구의 의의</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분류 목표는 아직 달성하지 못했으나 다음 세 가지는 후속 연구에 실질적으로 기여할 수 있다.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① 저비용 ECG 소자를 식물 측정에 전용할 때의 한계를 정량적으로 특정했다. 메이커 커뮤니티에 AD8232를 식물에 연결한 사례는 많으나, 어떤 신호가 왜 측정되지 않는지를 대역·임피던스 수준에서 분석한 기록은 드물다.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② 검출 신호의 출처를 검증하는 대조실험 프로토콜을 설계했다. 제3자 접촉·비전도성 매개를 포함한 4조건 설계와 배선 진동 대조군은 다른 연구에도 그대로 적용할 수 있다. 이러한 대조군 없이 얻은 “식물 접촉 반응”은 신뢰하기 어렵다.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③ 높은 정확도가 그 자체로는 아무것도 증명하지 않는다는 점을 실제 사례로 확인했다. 오프라인 평가에서 높은 정확도를 낸 모델이 실은 전극 부착 여부를 학습하고 있었고, 이는 오프라인 지표로는 끝까지 드러나지 않았다.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3. 연구의 한계</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음성 대조군 미수행. 알루미늄 호일을 이용한 도체 대조와 건조 가지를 이용한 사체 대조를 Ⅳ장 3절 (4)에 설계하였으나 수행하지 못하여, 검출 신호에 식물 기여분이 전혀 없을 가능성을 배제하지 못하였다.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단일 개체·단일 세션. 개체 간·일간 변이를 평가할 수 없었다.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임피던스 직접 측정 미실시. 전극–식물 계면 임피던스를 실측하지 못해 Ⅳ장 6절 (3)에서 서술한 네 가지 기전의 실제 기여도를 정량화하지 못했다.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4. 후속 연구 제언</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① 측정 장비 교체. 프런트엔드를 DC 결합·저바이어스로 재구성한다. 선정 기준은 입력 임피던스의 절대값이 아니라 입력 바이어스·오프셋 전류여야 한다(6절 (3)). JFET 입력인 AD8220[25]은 바이어스 전류 최댓값이 10 pA로 AD8232(1 nA)의 1/100이다. AD8232를 유지한다면 고역통과 커패시터를 교체해 차단을 0.01 Hz 이하로 낮추는 것이 수분부족 측정의 유일한 경로다.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② 전극 개선. 토양 전용 Ag/AgCl 기준전극을 도입하고, 잎 표면 큐티클을 우회할 수 있도록 줄기 삽입형 미세 전극을 검토한다.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③ 음성 대조군 도입. Ⅳ장 3절 (4)에 설계한 도체 대조(알루미늄 호일)와 사체 대조(건조 가지)를 수행한다. 두 조건에서도 유사한 정확도가 나온다면 그 정확도는 식물 반응이 아니다.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④ 비전도성 자극 프로토콜. 모든 자극 데이터를 비전도성 도구로만 수집하여 인체 결합을 원천 차단한다.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⑤ 전극 임피던스 실측. LCR 미터로 전극–식물 계면 임피던스 Ze를 측정하여, Ⅳ장 6절 (3)의 네 기전(직류 오프셋·입력 용량 저역통과·CMRR 불균형·열잡음)이 각각 얼마나 기여하는지 정량화한다. 이 값이 있어야 필요한 증폭기의 바이어스·오프셋 전류 상한을 역산할 수 있다.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위 (1)의 재구성을 실제 회로로 확정하였다(그림13). 전압 폴로어는 증폭하지 않고 임피던스만 낮추므로 고역통과가 없고, 증폭은 ADS1115의 PGA가 맡아 ±256 mV·7.81 µV를 얻는다. 다만 고역통과를 없앤다고 수분부족이 측정되는 것은 아니다 — 원리적 차단이 사라질 뿐, 그 자리를 전극 표류가 대신한다. 표류는 수분 스트레스와 대역이 겹쳐서, 한 채널만 재면 “식물이 마른 것”과 “전극이 오래 붙어 있던 것”을 구분할 수 없다. 그래서 식물 없이 전극쌍만 담근 참조 채널을 동시에 기록해 뺀다. Ⅳ장 3절 (4)의 사체 대조를 상시로 수행하는 셈이다.</w:t>
      </w:r>
    </w:p>
    <w:p>
      <w:pPr>
        <w:keepNext/>
        <w:spacing w:before="120" w:after="60"/>
        <w:jc w:val="center"/>
      </w:pPr>
      <w:r>
        <w:drawing>
          <wp:inline distT="0" distB="0" distL="0" distR="0">
            <wp:extent cx="4950000" cy="1786363"/>
            <wp:effectExtent l="0" t="0" r="0" b="0"/>
            <wp:docPr id="5" name="Picture 5"/>
            <wp:cNvGraphicFramePr/>
            <a:graphic xmlns:a="http://schemas.openxmlformats.org/drawingml/2006/main">
              <a:graphicData uri="http://schemas.openxmlformats.org/drawingml/2006/picture">
                <pic:pic xmlns:pic="http://schemas.openxmlformats.org/drawingml/2006/picture">
                  <pic:nvPicPr>
                    <pic:cNvPr id="5" name="p4.png"/>
                    <pic:cNvPicPr/>
                  </pic:nvPicPr>
                  <pic:blipFill>
                    <a:blip r:embed="rId104"/>
                    <a:stretch>
                      <a:fillRect/>
                    </a:stretch>
                  </pic:blipFill>
                  <pic:spPr>
                    <a:xfrm>
                      <a:off x="0" y="0"/>
                      <a:ext cx="4950000" cy="1786363"/>
                    </a:xfrm>
                    <a:prstGeom prst="rect">
                      <a:avLst/>
                    </a:prstGeom>
                  </pic:spPr>
                </pic:pic>
              </a:graphicData>
            </a:graphic>
          </wp:inline>
        </w:drawing>
      </w:r>
    </w:p>
    <w:p>
      <w:pPr>
        <w:spacing w:before="0" w:after="40" w:line="312" w:lineRule="auto"/>
        <w:jc w:val="center"/>
        <w:rPr>
          <w:rFonts w:ascii="휴먼명조" w:hAnsi="휴먼명조" w:eastAsia="휴먼명조" w:cs="휴먼명조"/>
          <w:sz w:val="22"/>
          <w:szCs w:val="22"/>
        </w:rPr>
      </w:pPr>
      <w:r>
        <w:rPr>
          <w:rFonts w:ascii="휴먼명조" w:hAnsi="휴먼명조" w:eastAsia="휴먼명조" w:cs="휴먼명조"/>
          <w:sz w:val="22"/>
          <w:szCs w:val="22"/>
        </w:rPr>
        <w:t xml:space="preserve">그림13. DC 결합 프런트엔드와 참조 채널 구성</w:t>
      </w:r>
    </w:p>
    <w:p>
      <w:pPr>
        <w:spacing w:before="0" w:after="100" w:line="312" w:lineRule="auto"/>
        <w:jc w:val="center"/>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버퍼는 이득 1배로 임피던스만 낮추며 고역통과가 없다. ADS1115의 차동쌍 두 개 중 하나를 식물에, 하나를 참조(사체·젤)에 배정해 두 채널에 공통으로 실린 전극 표류를 상쇄한다.</w:t>
      </w:r>
    </w:p>
    <w:p>
      <w:pPr>
        <w:keepNext/>
        <w:spacing w:before="200" w:after="200" w:line="312" w:lineRule="auto"/>
        <w:rPr>
          <w:rFonts w:ascii="휴먼명조" w:hAnsi="휴먼명조" w:eastAsia="휴먼명조" w:cs="휴먼명조"/>
          <w:b/>
          <w:bCs/>
          <w:sz w:val="28"/>
          <w:szCs w:val="28"/>
        </w:rPr>
      </w:pPr>
      <w:r>
        <w:rPr>
          <w:rFonts w:ascii="휴먼명조" w:hAnsi="휴먼명조" w:eastAsia="휴먼명조" w:cs="휴먼명조"/>
          <w:b/>
          <w:bCs/>
          <w:sz w:val="28"/>
          <w:szCs w:val="28"/>
        </w:rPr>
        <w:t xml:space="preserve">참고 문헌</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[1] Analog Devices. AD8232: Single-Lead, Heart Rate Monitor Front End (Data Sheet, Rev. D). Analog Devices, Inc.</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[2] Texas Instruments. ADS1113/ADS1114/ADS1115: Ultra-Small, Low-Power, 16-Bit Analog-to-Digital Converter with Internal Reference (Data Sheet). Texas Instruments Inc.</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[3] Fromm, J., &amp; Lautner, S. (2007). Electrical signals and their physiological significance in plants. Plant, Cell &amp; Environment, 30(3), 249–257.</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[4] Pedregosa, F., Varoquaux, G., Gramfort, A., et al. (2011). Scikit-learn: Machine Learning in Python. Journal of Machine Learning Research, 12, 2825–2830.</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[5] Virtanen, P., Gommers, R., Oliphant, T. E., et al. (2020). SciPy 1.0: Fundamental algorithms for scientific computing in Python. Nature Methods, 17, 261–272.</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[6] Raspberry Pi Ltd. Raspberry Pi 5 and RP1 Peripherals Documentation. Raspberry Pi Ltd.</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[7] Green Mind Lab. GML_PLANT. GitHub. https://github.com/packsunjin/GML_PLANT</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[8] Analog Devices. AD8232 Single-Lead ECG Front End Design Guide</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[9] U.S. Patent 8,893,551 / 8,205,502. Plant biosensor and method</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[10] ECHEMI. How can we detect electrical signals in plants?</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[11] MSE Supplies / Redox.me. Soil Silver/Silver Chloride Reference Electrode (Soil Ag/AgCl)</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[12] Volkov, A. G. et al. (2018). Electrical signal propagation within and between tomato plants. Bioelectrochemistry.</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[13] Sukhov, V. et al. (2021). Electrical Signaling of Plants under Abiotic Stressors: Transmission of Stimulus-Specific Information. International Journal of Molecular Sciences.</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[14] Time series data modelling for classification of drought in tomato plants (2023). Theoretical and Experimental Plant Physiology.</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[15] Classification of various nutrient deficiencies in tomato plants through electrophysiological signal decomposition and sample space reduction (2022). Plant Physiology and Biochemistry. (ScienceDirect S0981942822003333)</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[16] Early Detection of Water Stress by Plant Electrophysiology: Machine Learning for Irrigation Management. arXiv preprint.</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[17] Equipment and protocol for measurement of extracellular electrical signals, gas exchange and turgor pressure in plants (2021). MethodsX.</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[18] Burdon-Sanderson, J. (1873). Note on the electrical phenomena which accompany irritation of the leaf of Dionæa muscipula. Proceedings of the Royal Society of London, 21, 495–496.</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[19] Bose, J. C. (1902). Response in the Living and Non-Living. Longmans, Green &amp; Co.</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[20] Ríos-Rojas, L., Tapia, F., &amp; Gurovich, L. A. (2014). Electrophysiological assessment of water stress in fruit-bearing woody plants. Journal of Plant Physiology, 171(10), 799–806.</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[21] Cattani, A., de Riedmatten, L., Roulet, J., et al. (2024). Water status assessment in grapevines using plant electrophysiology. OENO One, 58(4).</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[22] Gloor, P. A. (2025). Plant Bioelectrical Signals for Environmental and Emotional State Classification. Biosensors, 15(11), 744.</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[23] Classifying plant electrical signals in response to external stimuli using machine learning for enhanced agricultural sustainability (2025). NJAS: Impact in Agricultural and Life Sciences, 97(1).</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[24] Plant Bioelectric Early Warning Systems: A Five-Year Investigation into Human–Plant Electromagnetic Communication (2025). arXiv:2506.04132.</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[25] Analog Devices. AD8220: JFET Input Instrumentation Amplifier with Rail-to-Rail Output (Data Sheet).</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[12]–[17]은 Ⅳ장 6절의 측정계 한계 분석에서 비교 기준으로 인용한 문헌이다. 논문의 그림·표를 직접 전재하지 않고, 보고된 수치만을 인용하여 본 연구의 측정 조건과 비교하는 그림(그림9, 그림12)을 새로 작성하였다.</w:t>
      </w:r>
    </w:p>
    <w:p>
      <w:pPr>
        <w:keepNext/>
        <w:spacing w:before="200" w:after="200" w:line="312" w:lineRule="auto"/>
        <w:rPr>
          <w:rFonts w:ascii="휴먼명조" w:hAnsi="휴먼명조" w:eastAsia="휴먼명조" w:cs="휴먼명조"/>
          <w:b/>
          <w:bCs/>
          <w:sz w:val="28"/>
          <w:szCs w:val="28"/>
        </w:rPr>
      </w:pPr>
      <w:r>
        <w:rPr>
          <w:rFonts w:ascii="휴먼명조" w:hAnsi="휴먼명조" w:eastAsia="휴먼명조" w:cs="휴먼명조"/>
          <w:b/>
          <w:bCs/>
          <w:sz w:val="28"/>
          <w:szCs w:val="28"/>
        </w:rPr>
        <w:t xml:space="preserve">부 록</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1. 개발 소스코드 구성</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전체 소스코드는 GitHub 저장소[7]에 공개되어 있다. 주요 모듈은 sensor_control.py(하드웨어 제어·수집·진단), preprocess.py(필터·품질 게이트·스펙트로그램 생성), feature_extraction.py·spectro_render.py(학습·추론이 공유하는 특징 변환), train.py(학습·평가), inference.py(실시간 추론), web_dashboard.py(브라우저 통합 화면)이며, 각 파일의 역할과 함수 단위 설명은 저장소의 README에 정리되어 있다.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2. 실험 재현 절차</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⑪ 라즈베리파이에서 I2C를 활성화하고 그림1의 배선대로 연결한다.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⑫ python3 check_sensors.py로 I2C 장치 인식(주소 0x48)과 전극 기준점을 확인한다. 기준점이 전원 레일에 붙어 있으면 이후 단계를 진행하지 않는다(Ⅳ장 3절 (3)).</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⑬ python3 main.py --web로 대시보드를 실행하고 브라우저로 접속한다.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⑭ 관리자 로그인 후 수집 탭에서 상태별로 5분씩 측정한다. 자극 수집 시 반드시 비전도성 도구를 사용한다.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⑮ 변환 탭에서 상태별 전처리를 수행한다.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① 학습 탭에서 과제와 특징 방식을 선택해 학습한다.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② 표4·표5·표7의 대조실험을 수행하여 신호 출처를 반드시 검증한다. 특히 표7의 음성 대조군(알루미늄 호일·건조 가지)은 추가 장비 없이 수행할 수 있다.</w:t>
      </w:r>
    </w:p>
    <w:sectPr>
      <w:footerReference w:type="default" r:id="rId9"/>
      <w:pgSz w:w="11906" w:h="16838"/>
      <w:pgMar w:top="1134" w:right="1134" w:bottom="1134" w:left="1134" w:header="720" w:footer="720" w:gutter="0"/>
    </w:sectPr>
  </w:body>
</w:document>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jc w:val="center"/>
    </w:pPr>
    <w:r>
      <w:rPr>
        <w:rFonts w:ascii="휴먼명조" w:hAnsi="휴먼명조" w:eastAsia="휴먼명조" w:cs="휴먼명조"/>
        <w:sz w:val="18"/>
        <w:szCs w:val="18"/>
      </w:rPr>
      <w:fldChar w:fldCharType="begin"/>
    </w:r>
    <w:r>
      <w:rPr>
        <w:rFonts w:ascii="휴먼명조" w:hAnsi="휴먼명조" w:eastAsia="휴먼명조" w:cs="휴먼명조"/>
        <w:sz w:val="18"/>
        <w:szCs w:val="18"/>
      </w:rPr>
      <w:instrText xml:space="preserve"> PAGE </w:instrText>
    </w:r>
    <w:r>
      <w:rPr>
        <w:rFonts w:ascii="휴먼명조" w:hAnsi="휴먼명조" w:eastAsia="휴먼명조" w:cs="휴먼명조"/>
        <w:sz w:val="18"/>
        <w:szCs w:val="18"/>
      </w:rPr>
      <w:fldChar w:fldCharType="end"/>
    </w:r>
  </w:p>
</w:ftr>
</file>

<file path=word/styles.xml><?xml version="1.0" encoding="utf-8"?>
<w:styl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docDefaults>
    <w:rPrDefault>
      <w:rPr>
        <w:rFonts w:ascii="휴먼명조" w:hAnsi="휴먼명조" w:eastAsia="휴먼명조" w:cs="휴먼명조"/>
        <w:sz w:val="22"/>
        <w:szCs w:val="22"/>
        <w:lang w:val="ko-KR" w:eastAsia="ko-KR"/>
      </w:rPr>
    </w:rPrDefault>
    <w:pPrDefault>
      <w:pPr>
        <w:spacing w:after="120" w:line="360" w:lineRule="auto"/>
      </w:pPr>
    </w:pPrDefault>
  </w:docDefaults>
  <w:style w:type="paragraph" w:default="1" w:styleId="Normal">
    <w:name w:val="Normal"/>
    <w:qFormat/>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9" Type="http://schemas.openxmlformats.org/officeDocument/2006/relationships/footer" Target="footer1.xml"/><Relationship Id="rId100" Type="http://schemas.openxmlformats.org/officeDocument/2006/relationships/image" Target="media/p0.png"/><Relationship Id="rId101" Type="http://schemas.openxmlformats.org/officeDocument/2006/relationships/image" Target="media/p1.png"/><Relationship Id="rId102" Type="http://schemas.openxmlformats.org/officeDocument/2006/relationships/image" Target="media/p2.png"/><Relationship Id="rId103" Type="http://schemas.openxmlformats.org/officeDocument/2006/relationships/image" Target="media/p3.png"/><Relationship Id="rId104" Type="http://schemas.openxmlformats.org/officeDocument/2006/relationships/image" Target="media/p4.png"/></Relationships>
</file>