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 줄기의 전기신호를 저가 부품으로 측정하고, 그 신호로 식물의 상태(정상 · 자극 · 수분부족)를 머신러닝으로 구분한다. 분류에 앞서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회로 자체의 30분 표류는 −0.0003 mV로 ADC 최소 단위보다 작았다. 측정 한계는 전극에 있음을 찾아냈다. 같은 회로에 황동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측정을 무효로 만든 결함 2건(기준 전압 자리의 커패시터, 라이브러리의 채널 선택 오류)을 단극 측정과 교차 확인으로 찾아 고쳤다.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w:t>
      </w:r>
      <w:hyperlink w:anchor="ref3" w:history="1">
        <w:r>
          <w:rPr>
            <w:rFonts w:ascii="휴먼명조" w:hAnsi="휴먼명조" w:eastAsia="휴먼명조" w:cs="휴먼명조"/>
            <w:color w:val="1F4E79"/>
            <w:sz w:val="22"/>
            <w:szCs w:val="22"/>
          </w:rPr>
          <w:t xml:space="preserve">[3]</w:t>
        </w:r>
      </w:hyperlink>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이 전기신호는 시듦 같은 외형 변화보다 먼저 나타나므로, 읽을 수 있다면 식물의 상태를 겉모습보다 먼저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은/염화은(Ag/AgCl) 전극과 고임피던스 전위계 같은 전용 장비로 측정한다</w:t>
      </w:r>
      <w:hyperlink w:anchor="ref6" w:history="1">
        <w:r>
          <w:rPr>
            <w:rFonts w:ascii="휴먼명조" w:hAnsi="휴먼명조" w:eastAsia="휴먼명조" w:cs="휴먼명조"/>
            <w:color w:val="1F4E79"/>
            <w:sz w:val="22"/>
            <w:szCs w:val="22"/>
          </w:rPr>
          <w:t xml:space="preserve">[6]</w:t>
        </w:r>
      </w:hyperlink>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목표는 방울토마토의 전기신호로 정상·자극·수분부족 세 상태를 SVM·Random Forest로 분류하는 것이었다. 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활동전위는 일반 식물에서 수십 초 동안 지속되고, 변동전위는 상처 같은 손상으로 생겨 최대 수십 분 이어진다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7" w:history="1">
              <w:r>
                <w:rPr>
                  <w:rFonts w:ascii="휴먼명조" w:hAnsi="휴먼명조" w:eastAsia="휴먼명조" w:cs="휴먼명조"/>
                  <w:color w:val="1F4E79"/>
                  <w:sz w:val="20"/>
                  <w:szCs w:val="20"/>
                </w:rPr>
                <w:t xml:space="preserve">[7]</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5" w:history="1">
              <w:r>
                <w:rPr>
                  <w:rFonts w:ascii="휴먼명조" w:hAnsi="휴먼명조" w:eastAsia="휴먼명조" w:cs="휴먼명조"/>
                  <w:color w:val="1F4E79"/>
                  <w:sz w:val="20"/>
                  <w:szCs w:val="20"/>
                </w:rPr>
                <w:t xml:space="preserve">[5]</w:t>
              </w:r>
            </w:hyperlink>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6" w:history="1">
              <w:r>
                <w:rPr>
                  <w:rFonts w:ascii="휴먼명조" w:hAnsi="휴먼명조" w:eastAsia="휴먼명조" w:cs="휴먼명조"/>
                  <w:color w:val="1F4E79"/>
                  <w:sz w:val="20"/>
                  <w:szCs w:val="20"/>
                </w:rPr>
                <w:t xml:space="preserve">[6]</w:t>
              </w:r>
            </w:hyperlink>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토마토의 두 값</w:t>
      </w:r>
      <w:hyperlink w:anchor="ref5" w:history="1">
        <w:r>
          <w:rPr>
            <w:rFonts w:ascii="휴먼명조" w:hAnsi="휴먼명조" w:eastAsia="휴먼명조" w:cs="휴먼명조"/>
            <w:color w:val="1F4E79"/>
            <w:sz w:val="22"/>
            <w:szCs w:val="22"/>
          </w:rPr>
          <w:t xml:space="preserve">[5]</w:t>
        </w:r>
      </w:hyperlink>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은 모두 전기 자극에 대한 반응이며, 토마토를 기계적으로 자극한 문헌 값은 찾지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17357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17357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식물 전기신호의 주파수 위치와 필터 통과대역</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신호 위치는 표1의 지속시간을 1/T로 환산한 대략값이다. AD8232(이전 측정계)와 기존 전처리(0.5–20 Hz)는 일반 식물의 활동전위 대역을 지운다.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같은 문헌은 주파수가 낮은 생체신호에는 비분극 전극(Ag/AgCl)을 쓰라고 권한다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본 연구는 Ag/AgCl 전극을 구하지 못해 점퍼선의 황동 핀을 전극으로 썼다.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를 썼다. 저장소 설정 기준으로 0.5 Hz 고역통과·40 Hz 저역통과·이득 1100배이며, 고역통과가 칩 안에 고정되어 있어 그림1의 활동전위 대역(0.01–0.1 Hz)을 지운다. 또 단전원 3.3 V에서 입력 환산 범위가 약 ±1.23 mV(계산: (1.65 − 0.3) V ÷ 1100)에 그쳐 수십 mV 신호는 잘린다. 이 두 가지 이유로 DC 결합 측정계로 바꾸었다.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 각 창에서 평균을 빼고 세기를 구하므로,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각각 전압 폴로어(MCP6002)로 받아 ADS1115의 A0·A1에 넣고, 두 채널의 차이(차동)를 250 S/s로 기록한다(그림2). 폴로어는 증폭하지 않고 전극에서 전류를 거의 끌어오지 않으며(입력 바이어스 전류 ±1 pA</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그림2. DC 결합 측정 시스템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1" w:history="1">
              <w:r>
                <w:rPr>
                  <w:rFonts w:ascii="휴먼명조" w:hAnsi="휴먼명조" w:eastAsia="휴먼명조" w:cs="휴먼명조"/>
                  <w:color w:val="1F4E79"/>
                  <w:sz w:val="20"/>
                  <w:szCs w:val="20"/>
                </w:rPr>
                <w:t xml:space="preserve">[1]</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2" w:history="1">
              <w:r>
                <w:rPr>
                  <w:rFonts w:ascii="휴먼명조" w:hAnsi="휴먼명조" w:eastAsia="휴먼명조" w:cs="휴먼명조"/>
                  <w:color w:val="1F4E79"/>
                  <w:sz w:val="20"/>
                  <w:szCs w:val="20"/>
                </w:rPr>
                <w:t xml:space="preserve">[2]</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황동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황동 핀 두 개와 흙에 꽂은 기준 핀</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황동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황동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sd(SciPy</w:t>
      </w:r>
      <w:hyperlink w:anchor="ref12" w:history="1">
        <w:r>
          <w:rPr>
            <w:rFonts w:ascii="휴먼명조" w:hAnsi="휴먼명조" w:eastAsia="휴먼명조" w:cs="휴먼명조"/>
            <w:color w:val="1F4E79"/>
            <w:sz w:val="22"/>
            <w:szCs w:val="22"/>
          </w:rPr>
          <w:t xml:space="preserve">[12]</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분류기는 SVM과 Random Forest(scikit-learn</w:t>
      </w:r>
      <w:hyperlink w:anchor="ref11" w:history="1">
        <w:r>
          <w:rPr>
            <w:rFonts w:ascii="휴먼명조" w:hAnsi="휴먼명조" w:eastAsia="휴먼명조" w:cs="휴먼명조"/>
            <w:color w:val="1F4E79"/>
            <w:sz w:val="22"/>
            <w:szCs w:val="22"/>
          </w:rPr>
          <w:t xml:space="preserve">[11]</w:t>
        </w:r>
      </w:hyperlink>
      <w:r>
        <w:rPr>
          <w:rFonts w:ascii="휴먼명조" w:hAnsi="휴먼명조" w:eastAsia="휴먼명조" w:cs="휴먼명조"/>
          <w:sz w:val="22"/>
          <w:szCs w:val="22"/>
        </w:rPr>
        <w:t xml:space="preserve">)를 격자 탐색으로 학습했다.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기록은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데이터는 시뮬레이터 출력이었다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기록했다. 원본 숫자 파일은 남아 있지 않아 다시 분석할 수 없다. AD8232의 0.5 Hz 고역통과는 높아진 채 머무는 전압을 수 초 안에 0으로 끌어내리므로, 이 모양은 Ⅳ장 5절의 계단형 접촉 신호가 고역통과를 지난 결과일 수 있다. 같은 시기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그림3. AD8232 자극 측정 스펙트로그램 28장 (2026-06-08, 순서대로)</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측정자가 확인한 실측 자료이며 원본 CSV는 보존되지 않았다. 각 칸의 가로축은 시간, 세로축은 주파수,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표4.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w:t>
      </w:r>
      <w:hyperlink w:anchor="ref13" w:history="1">
        <w:r>
          <w:rPr>
            <w:rFonts w:ascii="휴먼명조" w:hAnsi="휴먼명조" w:eastAsia="휴먼명조" w:cs="휴먼명조"/>
            <w:color w:val="1F4E79"/>
            <w:sz w:val="22"/>
            <w:szCs w:val="22"/>
          </w:rPr>
          <w:t xml:space="preserve">[13]</w:t>
        </w:r>
      </w:hyperlink>
      <w:r>
        <w:rPr>
          <w:rFonts w:ascii="휴먼명조" w:hAnsi="휴먼명조" w:eastAsia="휴먼명조" w:cs="휴먼명조"/>
          <w:sz w:val="22"/>
          <w:szCs w:val="22"/>
        </w:rPr>
        <w:t xml:space="preserve">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표5.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측정했다(그림4(a), 표6). 30분 표류는 −0.0003 mV로 ADC 한 칸(7.8125 µV)의 약 1/26이다. 기록값의 최소 간격 7.812 µV가 ADC 한 칸과 일치하는 것은 이 파일이 실제 ADC 출력이라는 증거다. 평균 −0.549 mV는 두 폴로어의 오프셋 차이로 규격(±4.5 mV)</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표6.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황동 핀 세 개(측정 2, 기준 1)를 수돗물 한 컵에 약 3 cm 간격으로 담그고 2시간을 측정했다(그림4(b)).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전기화학적 표류는 한 방향으로 진행하므로, 처음 30분은 핀이 덜 젖어 접촉 면적이 들쭉날쭉했던 구간으로 해석했다.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469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469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(a) 1단계 회로 영점 30분, (b) 2단계 전극 표류 2시간 (1분 평균)</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(a)의 세로축 전체 폭은 약 0.006 mV, (b)는 약 550 mV다. 같은 회로에서 전극을 단 것만으로 표류가 수만 배 커졌다. (b)의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표7.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활동전위 대역 잡음 1.28 mV는 문헌의 접촉 유발 활동전위(33.9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보다 작지만, 93.8분에 원인 모를 58 mV 단발 변동이 한 번 있었다. 값이 튀었다는 사실만으로 자극 반응이라 판단할 수 없음을 보여 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황동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34355"/>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34355"/>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그림5. 식물 기록과 손 접촉 신호</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 기록 앞 1719초의 0.1초 평균. 점선은 평상시 기준선(−49.9 mV). (b) 한 번의 접촉 확대. 손이 닿는 순간 솟고 떼면 기준선 아래로 내려갔다가 수 초에 걸쳐 돌아온다. (c) 접촉 43건의 상승 폭 분포. 파란 띠는 문헌의 접촉 유발 활동전위 사분위 범위(26.8–39.8 mV)</w:t>
      </w:r>
      <w:hyperlink w:anchor="ref7" w:history="1">
        <w:r>
          <w:rPr>
            <w:rFonts w:ascii="휴먼명조" w:hAnsi="휴먼명조" w:eastAsia="휴먼명조" w:cs="휴먼명조"/>
            <w:color w:val="1F4E79"/>
            <w:sz w:val="18"/>
            <w:szCs w:val="18"/>
          </w:rPr>
          <w:t xml:space="preserve">[7]</w:t>
        </w:r>
      </w:hyperlink>
      <w:r>
        <w:rPr>
          <w:rFonts w:ascii="휴먼명조" w:hAnsi="휴먼명조" w:eastAsia="휴먼명조" w:cs="휴먼명조"/>
          <w:color w:val="555555"/>
          <w:sz w:val="18"/>
          <w:szCs w:val="18"/>
        </w:rPr>
        <w:t xml:space="preserve">.</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표8.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w:t>
            </w:r>
            <w:hyperlink w:anchor="ref7" w:history="1">
              <w:r>
                <w:rPr>
                  <w:rFonts w:ascii="휴먼명조" w:hAnsi="휴먼명조" w:eastAsia="휴먼명조" w:cs="휴먼명조"/>
                  <w:b/>
                  <w:bCs/>
                  <w:color w:val="1F4E79"/>
                  <w:sz w:val="20"/>
                  <w:szCs w:val="20"/>
                </w:rPr>
                <w:t xml:space="preserve">[7]</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 AD8232 시기의 예비 관찰에서 손으로 줄을 잡아도 반응이 없었던 것은, 0.5 Hz 고역통과가 이런 계단형 변화를 지웠기 때문일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문헌</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않는다(그림6). 0.5–20 Hz 대역통과 후의 스펙트로그램은 손을 대는 순간과 떼는 순간에 밝은 세로 띠를 만들고, 핀이나 선을 흔들 때도 같은 띠가 나타났다(측정자 관찰). 각 창에서 평균을 빼므로 높게 머무는 구간은 오히려 어둡다. 분류기에 들어가는 10초 창(그림6(c))도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0071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00711"/>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그림6. DC 측정계의 식물 스펙트로그램</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 손 접촉이 이어진 90초의 전압(0.1초 평균). (b) 같은 구간의 0.5–20 Hz 스펙트로그램. 손을 대고 뗄 때마다 밝은 세로 띠가 생긴다. (c) 분류기 입력 10초 창 예시 — 왼쪽 7장 접촉, 오른쪽 7장 비접촉.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하루, 식물 한 그루, 측정자 한 명의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황동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냈고, 단극 측정과 교차 확인으로만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각 단계를 한 번씩만 측정했고, 식물은 한 그루, 측정자는 한 명이다.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40분(관통이면 1시간 이상) 기다린 뒤 측정하고,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bookmarkStart w:id="1" w:name="ref1"/>
      <w:r>
        <w:rPr>
          <w:rFonts w:ascii="휴먼명조" w:hAnsi="휴먼명조" w:eastAsia="휴먼명조" w:cs="휴먼명조"/>
          <w:sz w:val="18"/>
          <w:szCs w:val="18"/>
        </w:rPr>
        <w:t xml:space="preserve">[1] Texas Instruments. ADS111x Ultra-Small, Low-Power, I2C-Compatible, 860-SPS, 16-Bit ADCs With Internal Reference (Data Sheet).</w:t>
      </w:r>
      <w:bookmarkEnd w:id="1"/>
    </w:p>
    <w:p>
      <w:pPr>
        <w:spacing w:before="0" w:after="20" w:line="276" w:lineRule="auto"/>
        <w:ind w:left="340" w:hanging="220"/>
        <w:rPr>
          <w:rFonts w:ascii="휴먼명조" w:hAnsi="휴먼명조" w:eastAsia="휴먼명조" w:cs="휴먼명조"/>
          <w:sz w:val="18"/>
          <w:szCs w:val="18"/>
        </w:rPr>
      </w:pPr>
      <w:bookmarkStart w:id="2" w:name="ref2"/>
      <w:r>
        <w:rPr>
          <w:rFonts w:ascii="휴먼명조" w:hAnsi="휴먼명조" w:eastAsia="휴먼명조" w:cs="휴먼명조"/>
          <w:sz w:val="18"/>
          <w:szCs w:val="18"/>
        </w:rPr>
        <w:t xml:space="preserve">[2] Microchip Technology. MCP6001/1R/1U/2/4: 1 MHz, Low-Power Op Amp (Data Sheet DS20001733L).</w:t>
      </w:r>
      <w:bookmarkEnd w:id="2"/>
    </w:p>
    <w:p>
      <w:pPr>
        <w:spacing w:before="0" w:after="20" w:line="276" w:lineRule="auto"/>
        <w:ind w:left="340" w:hanging="220"/>
        <w:rPr>
          <w:rFonts w:ascii="휴먼명조" w:hAnsi="휴먼명조" w:eastAsia="휴먼명조" w:cs="휴먼명조"/>
          <w:sz w:val="18"/>
          <w:szCs w:val="18"/>
        </w:rPr>
      </w:pPr>
      <w:bookmarkStart w:id="3" w:name="ref3"/>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bookmarkEnd w:id="3"/>
    </w:p>
    <w:p>
      <w:pPr>
        <w:spacing w:before="0" w:after="20" w:line="276" w:lineRule="auto"/>
        <w:ind w:left="340" w:hanging="220"/>
        <w:rPr>
          <w:rFonts w:ascii="휴먼명조" w:hAnsi="휴먼명조" w:eastAsia="휴먼명조" w:cs="휴먼명조"/>
          <w:sz w:val="18"/>
          <w:szCs w:val="18"/>
        </w:rPr>
      </w:pPr>
      <w:bookmarkStart w:id="4" w:name="ref4"/>
      <w:r>
        <w:rPr>
          <w:rFonts w:ascii="휴먼명조" w:hAnsi="휴먼명조" w:eastAsia="휴먼명조" w:cs="휴먼명조"/>
          <w:sz w:val="18"/>
          <w:szCs w:val="18"/>
        </w:rPr>
        <w:t xml:space="preserve">[4] Mudrilov, M. et al. (2021). Electrical Signaling of Plants under Abiotic Stressors: Transmission of Stimulus-Specific Information. International Journal of Molecular Sciences, 22(19), 10715. doi:10.3390/ijms221910715</w:t>
      </w:r>
      <w:bookmarkEnd w:id="4"/>
    </w:p>
    <w:p>
      <w:pPr>
        <w:spacing w:before="0" w:after="20" w:line="276" w:lineRule="auto"/>
        <w:ind w:left="340" w:hanging="220"/>
        <w:rPr>
          <w:rFonts w:ascii="휴먼명조" w:hAnsi="휴먼명조" w:eastAsia="휴먼명조" w:cs="휴먼명조"/>
          <w:sz w:val="18"/>
          <w:szCs w:val="18"/>
        </w:rPr>
      </w:pPr>
      <w:bookmarkStart w:id="5" w:name="ref5"/>
      <w:r>
        <w:rPr>
          <w:rFonts w:ascii="휴먼명조" w:hAnsi="휴먼명조" w:eastAsia="휴먼명조" w:cs="휴먼명조"/>
          <w:sz w:val="18"/>
          <w:szCs w:val="18"/>
        </w:rPr>
        <w:t xml:space="preserve">[5] Macedo, F. C. O., Dziubinska, H., Trebacz, K., Oliveira, R. F., &amp; de Andrade Moral, R. (2015). Action potentials in abscisic acid-deficient tomato mutant generated spontaneously and evoked by electrical stimulation. Acta Physiologiae Plantarum, 37, 207. doi:10.1007/s11738-015-1950-4</w:t>
      </w:r>
      <w:bookmarkEnd w:id="5"/>
    </w:p>
    <w:p>
      <w:pPr>
        <w:spacing w:before="0" w:after="20" w:line="276" w:lineRule="auto"/>
        <w:ind w:left="340" w:hanging="220"/>
        <w:rPr>
          <w:rFonts w:ascii="휴먼명조" w:hAnsi="휴먼명조" w:eastAsia="휴먼명조" w:cs="휴먼명조"/>
          <w:sz w:val="18"/>
          <w:szCs w:val="18"/>
        </w:rPr>
      </w:pPr>
      <w:bookmarkStart w:id="6" w:name="ref6"/>
      <w:r>
        <w:rPr>
          <w:rFonts w:ascii="휴먼명조" w:hAnsi="휴먼명조" w:eastAsia="휴먼명조" w:cs="휴먼명조"/>
          <w:sz w:val="18"/>
          <w:szCs w:val="18"/>
        </w:rPr>
        <w:t xml:space="preserve">[6] Volkov, A. G., &amp; Shtessel, Y. B. (2018). Electrical signal propagation within and between tomato plants. Bioelectrochemistry, 124, 195–205. doi:10.1016/j.bioelechem.2018.08.001</w:t>
      </w:r>
      <w:bookmarkEnd w:id="6"/>
    </w:p>
    <w:p>
      <w:pPr>
        <w:spacing w:before="0" w:after="20" w:line="276" w:lineRule="auto"/>
        <w:ind w:left="340" w:hanging="220"/>
        <w:rPr>
          <w:rFonts w:ascii="휴먼명조" w:hAnsi="휴먼명조" w:eastAsia="휴먼명조" w:cs="휴먼명조"/>
          <w:sz w:val="18"/>
          <w:szCs w:val="18"/>
        </w:rPr>
      </w:pPr>
      <w:bookmarkStart w:id="7" w:name="ref7"/>
      <w:r>
        <w:rPr>
          <w:rFonts w:ascii="휴먼명조" w:hAnsi="휴먼명조" w:eastAsia="휴먼명조" w:cs="휴먼명조"/>
          <w:sz w:val="18"/>
          <w:szCs w:val="18"/>
        </w:rPr>
        <w:t xml:space="preserve">[7] Degli Agosti, R. (2014). Touch-induced action potentials in Arabidopsis thaliana. Archives des Sciences, 67, 125–138.</w:t>
      </w:r>
      <w:bookmarkEnd w:id="7"/>
    </w:p>
    <w:p>
      <w:pPr>
        <w:spacing w:before="0" w:after="20" w:line="276" w:lineRule="auto"/>
        <w:ind w:left="340" w:hanging="220"/>
        <w:rPr>
          <w:rFonts w:ascii="휴먼명조" w:hAnsi="휴먼명조" w:eastAsia="휴먼명조" w:cs="휴먼명조"/>
          <w:sz w:val="18"/>
          <w:szCs w:val="18"/>
        </w:rPr>
      </w:pPr>
      <w:bookmarkStart w:id="8" w:name="ref8"/>
      <w:r>
        <w:rPr>
          <w:rFonts w:ascii="휴먼명조" w:hAnsi="휴먼명조" w:eastAsia="휴먼명조" w:cs="휴먼명조"/>
          <w:sz w:val="18"/>
          <w:szCs w:val="18"/>
        </w:rPr>
        <w:t xml:space="preserve">[8] Ademoglu, A. Bioelectrodes (Lecture Notes). Institute of Biomedical Engineering, Boğaziçi University.</w:t>
      </w:r>
      <w:bookmarkEnd w:id="8"/>
    </w:p>
    <w:p>
      <w:pPr>
        <w:spacing w:before="0" w:after="20" w:line="276" w:lineRule="auto"/>
        <w:ind w:left="340" w:hanging="220"/>
        <w:rPr>
          <w:rFonts w:ascii="휴먼명조" w:hAnsi="휴먼명조" w:eastAsia="휴먼명조" w:cs="휴먼명조"/>
          <w:sz w:val="18"/>
          <w:szCs w:val="18"/>
        </w:rPr>
      </w:pPr>
      <w:bookmarkStart w:id="9" w:name="ref9"/>
      <w:r>
        <w:rPr>
          <w:rFonts w:ascii="휴먼명조" w:hAnsi="휴먼명조" w:eastAsia="휴먼명조" w:cs="휴먼명조"/>
          <w:sz w:val="18"/>
          <w:szCs w:val="18"/>
        </w:rPr>
        <w:t xml:space="preserve">[9] Analog Devices. AD8232: Single-Lead, Heart Rate Monitor Front End (Data Sheet).</w:t>
      </w:r>
      <w:bookmarkEnd w:id="9"/>
    </w:p>
    <w:p>
      <w:pPr>
        <w:spacing w:before="0" w:after="20" w:line="276" w:lineRule="auto"/>
        <w:ind w:left="340" w:hanging="220"/>
        <w:rPr>
          <w:rFonts w:ascii="휴먼명조" w:hAnsi="휴먼명조" w:eastAsia="휴먼명조" w:cs="휴먼명조"/>
          <w:sz w:val="18"/>
          <w:szCs w:val="18"/>
        </w:rPr>
      </w:pPr>
      <w:bookmarkStart w:id="10" w:name="ref10"/>
      <w:r>
        <w:rPr>
          <w:rFonts w:ascii="휴먼명조" w:hAnsi="휴먼명조" w:eastAsia="휴먼명조" w:cs="휴먼명조"/>
          <w:sz w:val="18"/>
          <w:szCs w:val="18"/>
        </w:rPr>
        <w:t xml:space="preserve">[10] Green Mind Lab. GML_PLANT. GitHub. https://github.com/packsunjin/GML_PLANT</w:t>
      </w:r>
      <w:bookmarkEnd w:id="10"/>
    </w:p>
    <w:p>
      <w:pPr>
        <w:spacing w:before="0" w:after="20" w:line="276" w:lineRule="auto"/>
        <w:ind w:left="340" w:hanging="220"/>
        <w:rPr>
          <w:rFonts w:ascii="휴먼명조" w:hAnsi="휴먼명조" w:eastAsia="휴먼명조" w:cs="휴먼명조"/>
          <w:sz w:val="18"/>
          <w:szCs w:val="18"/>
        </w:rPr>
      </w:pPr>
      <w:bookmarkStart w:id="11" w:name="ref11"/>
      <w:r>
        <w:rPr>
          <w:rFonts w:ascii="휴먼명조" w:hAnsi="휴먼명조" w:eastAsia="휴먼명조" w:cs="휴먼명조"/>
          <w:sz w:val="18"/>
          <w:szCs w:val="18"/>
        </w:rPr>
        <w:t xml:space="preserve">[11] Pedregosa, F., Varoquaux, G., Gramfort, A., et al. (2011). Scikit-learn: Machine Learning in Python. Journal of Machine Learning Research, 12, 2825–2830.</w:t>
      </w:r>
      <w:bookmarkEnd w:id="11"/>
    </w:p>
    <w:p>
      <w:pPr>
        <w:spacing w:before="0" w:after="20" w:line="276" w:lineRule="auto"/>
        <w:ind w:left="340" w:hanging="220"/>
        <w:rPr>
          <w:rFonts w:ascii="휴먼명조" w:hAnsi="휴먼명조" w:eastAsia="휴먼명조" w:cs="휴먼명조"/>
          <w:sz w:val="18"/>
          <w:szCs w:val="18"/>
        </w:rPr>
      </w:pPr>
      <w:bookmarkStart w:id="12" w:name="ref12"/>
      <w:r>
        <w:rPr>
          <w:rFonts w:ascii="휴먼명조" w:hAnsi="휴먼명조" w:eastAsia="휴먼명조" w:cs="휴먼명조"/>
          <w:sz w:val="18"/>
          <w:szCs w:val="18"/>
        </w:rPr>
        <w:t xml:space="preserve">[12] Virtanen, P., Gommers, R., Oliphant, T. E., et al. (2020). SciPy 1.0: Fundamental algorithms for scientific computing in Python. Nature Methods, 17, 261–272.</w:t>
      </w:r>
      <w:bookmarkEnd w:id="12"/>
    </w:p>
    <w:p>
      <w:pPr>
        <w:spacing w:before="0" w:after="20" w:line="276" w:lineRule="auto"/>
        <w:ind w:left="340" w:hanging="220"/>
        <w:rPr>
          <w:rFonts w:ascii="휴먼명조" w:hAnsi="휴먼명조" w:eastAsia="휴먼명조" w:cs="휴먼명조"/>
          <w:sz w:val="18"/>
          <w:szCs w:val="18"/>
        </w:rPr>
      </w:pPr>
      <w:bookmarkStart w:id="13" w:name="ref13"/>
      <w:r>
        <w:rPr>
          <w:rFonts w:ascii="휴먼명조" w:hAnsi="휴먼명조" w:eastAsia="휴먼명조" w:cs="휴먼명조"/>
          <w:sz w:val="18"/>
          <w:szCs w:val="18"/>
        </w:rPr>
        <w:t xml:space="preserve">[13] Adafruit Industries. Adafruit_CircuitPython_ADS1x15. GitHub. https://github.com/adafruit/Adafruit_CircuitPython_ADS1x15</w:t>
      </w:r>
      <w:bookmarkEnd w:id="13"/>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