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Ejercitación Previa – 2do parcial – ADR 2021</w:t>
      </w:r>
    </w:p>
    <w:p>
      <w:pPr>
        <w:pStyle w:val="Normal"/>
        <w:spacing w:before="0" w:after="0"/>
        <w:jc w:val="both"/>
        <w:rPr/>
      </w:pPr>
      <w:r>
        <w:rPr/>
        <w:t xml:space="preserve">1) </w:t>
        <w:tab/>
        <w:t>Usted es el encargado de llevar adelante las negociaciones para realizar un trabajo tercerizado dentro de su compañía de desarrollo de software. Para ello deberá analizar diferentes propuestas que los proveedores más allegados le harán saber dentro del período de selección para los que se postularán.</w:t>
      </w:r>
    </w:p>
    <w:p>
      <w:pPr>
        <w:pStyle w:val="Normal"/>
        <w:spacing w:before="0" w:after="0"/>
        <w:jc w:val="both"/>
        <w:rPr/>
      </w:pPr>
      <w:r>
        <w:rPr/>
        <w:t>Para poder determinar cuál es el trabajo a realizar que más se adecúa a la solución que usted necesita que desarrollen, deberá tener realizado previamente un análisis con los aspectos más relevantes, detallado que es lo que se desea, y cuáles son las cuestiones principales para resolver y cómo van a resolverse. Todo lo demás será un plus o agregado que deberá ponderar para saber con cuál proveedor va a trabajar.</w:t>
      </w:r>
    </w:p>
    <w:p>
      <w:pPr>
        <w:pStyle w:val="Normal"/>
        <w:spacing w:before="0" w:after="0"/>
        <w:jc w:val="both"/>
        <w:rPr/>
      </w:pPr>
      <w:r>
        <w:rPr/>
        <w:t>¿Cómo justifica la inversión del tiempo que ha empleado para analizar estas cuestiones en función al beneficio que le retribuirá tener bien definidos los aspectos que se van a tratar en el contrato? ¿Cómo relaciona los conceptos de CAPEX y OPEX vistos en clase para justificar el análisis de la metodología de evaluación de propuestas que va a emplear para saber por cuál proveedor optar?</w:t>
      </w:r>
    </w:p>
    <w:p>
      <w:pPr>
        <w:pStyle w:val="Normal"/>
        <w:spacing w:before="0" w:after="0"/>
        <w:jc w:val="both"/>
        <w:rPr/>
      </w:pPr>
      <w:r>
        <w:rPr/>
      </w:r>
    </w:p>
    <w:p>
      <w:pPr>
        <w:pStyle w:val="Normal"/>
        <w:spacing w:before="0" w:after="0"/>
        <w:jc w:val="both"/>
        <w:rPr/>
      </w:pPr>
      <w:r>
        <w:rPr/>
        <w:t xml:space="preserve">2) </w:t>
        <w:tab/>
        <w:t>El Valor del Punto de Ponderación (VPP) me permite</w:t>
      </w:r>
    </w:p>
    <w:p>
      <w:pPr>
        <w:pStyle w:val="Normal"/>
        <w:spacing w:before="0" w:after="0"/>
        <w:ind w:left="708" w:firstLine="708"/>
        <w:jc w:val="both"/>
        <w:rPr/>
      </w:pPr>
      <w:r>
        <w:rPr/>
        <w:t>a. Determinar el precio de compra del producto que estoy analizando.</w:t>
      </w:r>
    </w:p>
    <w:p>
      <w:pPr>
        <w:pStyle w:val="Normal"/>
        <w:spacing w:before="0" w:after="0"/>
        <w:ind w:left="708" w:firstLine="708"/>
        <w:jc w:val="both"/>
        <w:rPr/>
      </w:pPr>
      <w:r>
        <w:rPr/>
        <w:t>b. Establecer el monto mínimo de diferencia entre un punto de ponderación.</w:t>
      </w:r>
    </w:p>
    <w:p>
      <w:pPr>
        <w:pStyle w:val="Normal"/>
        <w:spacing w:before="0" w:after="0"/>
        <w:ind w:left="1416" w:hanging="0"/>
        <w:jc w:val="both"/>
        <w:rPr/>
      </w:pPr>
      <w:r>
        <w:rPr/>
        <w:t>c. Determinar cuánto estoy dispuesto a pagar por un punto más en la ponderación de una propuesta.</w:t>
      </w:r>
    </w:p>
    <w:p>
      <w:pPr>
        <w:pStyle w:val="Normal"/>
        <w:spacing w:before="0" w:after="0"/>
        <w:ind w:left="708" w:firstLine="708"/>
        <w:jc w:val="both"/>
        <w:rPr/>
      </w:pPr>
      <w:r>
        <w:rPr/>
        <w:t>d. Determinar si está bien establecido el valor del peso relativo del ítem Costo.</w:t>
      </w:r>
    </w:p>
    <w:p>
      <w:pPr>
        <w:pStyle w:val="Normal"/>
        <w:spacing w:before="0" w:after="0"/>
        <w:ind w:left="708" w:firstLine="708"/>
        <w:jc w:val="both"/>
        <w:rPr/>
      </w:pPr>
      <w:r>
        <w:rPr/>
        <w:t>e. Todas las anteriores.</w:t>
      </w:r>
    </w:p>
    <w:p>
      <w:pPr>
        <w:pStyle w:val="Normal"/>
        <w:spacing w:before="0" w:after="0"/>
        <w:ind w:left="708" w:firstLine="708"/>
        <w:jc w:val="both"/>
        <w:rPr/>
      </w:pPr>
      <w:r>
        <w:rPr/>
        <w:t>f. Ninguna de las anteriores.</w:t>
      </w:r>
    </w:p>
    <w:p>
      <w:pPr>
        <w:pStyle w:val="Normal"/>
        <w:spacing w:before="0" w:after="0"/>
        <w:jc w:val="both"/>
        <w:rPr/>
      </w:pPr>
      <w:r>
        <w:rPr/>
        <w:t>3)</w:t>
        <w:tab/>
        <w:t>El procedimiento BENCKMARK</w:t>
      </w:r>
    </w:p>
    <w:p>
      <w:pPr>
        <w:pStyle w:val="Normal"/>
        <w:spacing w:before="0" w:after="0"/>
        <w:ind w:left="1416" w:hanging="0"/>
        <w:jc w:val="both"/>
        <w:rPr/>
      </w:pPr>
      <w:r>
        <w:rPr/>
        <w:t>a. Es una comparación entre diferentes mecanismos de medición de los elementos a evaluar.</w:t>
      </w:r>
    </w:p>
    <w:p>
      <w:pPr>
        <w:pStyle w:val="Normal"/>
        <w:spacing w:before="0" w:after="0"/>
        <w:ind w:left="708" w:firstLine="708"/>
        <w:jc w:val="both"/>
        <w:rPr/>
      </w:pPr>
      <w:r>
        <w:rPr/>
        <w:t>b. Es una comparación entre diferentes atributos de un mismo elemento.</w:t>
      </w:r>
    </w:p>
    <w:p>
      <w:pPr>
        <w:pStyle w:val="Normal"/>
        <w:spacing w:before="0" w:after="0"/>
        <w:ind w:left="1416" w:hanging="0"/>
        <w:jc w:val="both"/>
        <w:rPr/>
      </w:pPr>
      <w:r>
        <w:rPr/>
        <w:t>c. Es una comparación entre los diferentes entornos de prueba en los que se van a someter a estudio los elementos.</w:t>
      </w:r>
    </w:p>
    <w:p>
      <w:pPr>
        <w:pStyle w:val="Normal"/>
        <w:spacing w:before="0" w:after="0"/>
        <w:ind w:left="1416" w:hanging="0"/>
        <w:jc w:val="both"/>
        <w:rPr/>
      </w:pPr>
      <w:r>
        <w:rPr/>
        <w:t>d. Es una prueba de stress de diferentes elementos dentro de un mismo entorno de prueba para establecer la mejor relación costo/beneficio</w:t>
      </w:r>
    </w:p>
    <w:p>
      <w:pPr>
        <w:pStyle w:val="Normal"/>
        <w:spacing w:before="0" w:after="0"/>
        <w:ind w:left="708" w:firstLine="708"/>
        <w:jc w:val="both"/>
        <w:rPr/>
      </w:pPr>
      <w:r>
        <w:rPr/>
        <w:t>e. Ninguna de las anteriores.</w:t>
      </w:r>
    </w:p>
    <w:p>
      <w:pPr>
        <w:pStyle w:val="Normal"/>
        <w:spacing w:before="0" w:after="0"/>
        <w:ind w:left="708" w:firstLine="708"/>
        <w:jc w:val="both"/>
        <w:rPr/>
      </w:pPr>
      <w:r>
        <w:rPr/>
        <w:t>f. Todas las anteriores.</w:t>
      </w:r>
    </w:p>
    <w:p>
      <w:pPr>
        <w:pStyle w:val="Normal"/>
        <w:spacing w:before="0" w:after="0"/>
        <w:ind w:left="708" w:firstLine="708"/>
        <w:jc w:val="both"/>
        <w:rPr/>
      </w:pPr>
      <w:r>
        <w:rPr/>
      </w:r>
    </w:p>
    <w:p>
      <w:pPr>
        <w:pStyle w:val="Normal"/>
        <w:jc w:val="both"/>
        <w:rPr/>
      </w:pPr>
      <w:r>
        <w:rPr/>
        <w:t xml:space="preserve">4) </w:t>
        <w:tab/>
        <w:t>Se lo convoca para confeccionar un análisis que permita evaluar las soluciones de copias de seguridad(Backup) que se van a adquirir en la organización.</w:t>
        <w:br/>
        <w:t>A continuación se transcriben alguno de los comentarios aportados en el relevamiento con el área de gestión técnica de la empresa.</w:t>
        <w:br/>
        <w:t>Se requiere una solución de copias de seguridad y replicación que permita realizar backup a nivel de máquina virtual completa tanto local como remota en el datacenter de contingencia. Se valorará muy positivamente la posibilidad de realizar recuperación de datos a nivel granular de archivos contenidos en las Máquinas virtuales. Se valorará que la solución se distribuya como un appliance físico en lugar de uno virtual. Será necesario contar con integración en el administrador de máquinas virtuales. Será deseable que tenga integración con VMWARE y HyperV. Se valorará la disponibilidad de agentes para otras plataformas como así también para instalaciones de servidores físicos. Se valorará el plazo de soporte y vigencia del licenciamiento a adquirir. Se valorará la gestión de distintos niveles de TIER en los servicios a resguardar. Será muy importante a los efectos de garantizar los tiempos de instalación, que el integrador cuente con personal certificado en la plataforma con presencia en Argentina. Se espera que los oferentes propongan el nivel de servicio(SLA) lo más alto posible(mayor cobertura horaria y tiempos de respuesta). El oferente deberá contar con al menos dos instalaciones en el mercado local certificadas y operando. Se valorará la posibilidad de contar con capacitaciones de transferencia de conocimiento de manera presencial o remota a modo de certificación más allá de la transferencia de conocimiento realizada durante la implementación.</w:t>
      </w:r>
    </w:p>
    <w:p>
      <w:pPr>
        <w:pStyle w:val="Normal"/>
        <w:jc w:val="both"/>
        <w:rPr>
          <w:rFonts w:ascii="Calibri" w:hAnsi="Calibri" w:cs="Calibri"/>
          <w:color w:val="000000"/>
        </w:rPr>
      </w:pPr>
      <w:r>
        <w:rPr/>
        <w:t>5)</w:t>
        <w:tab/>
      </w:r>
      <w:r>
        <w:rPr>
          <w:rFonts w:cs="Calibri"/>
          <w:color w:val="000000"/>
        </w:rPr>
        <w:t>El proyecto que se muestra en la figura a continuación tiene un equipo de 5 personas, un presupuesto de 1.000 días-hombre y un cronograma original de 10 meses.</w:t>
      </w:r>
    </w:p>
    <w:p>
      <w:pPr>
        <w:pStyle w:val="Normal"/>
        <w:jc w:val="both"/>
        <w:rPr/>
      </w:pPr>
      <w:r>
        <w:rPr/>
        <w:drawing>
          <wp:inline distT="0" distB="0" distL="0" distR="0">
            <wp:extent cx="5400040" cy="2920365"/>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2"/>
                    <a:stretch>
                      <a:fillRect/>
                    </a:stretch>
                  </pic:blipFill>
                  <pic:spPr bwMode="auto">
                    <a:xfrm>
                      <a:off x="0" y="0"/>
                      <a:ext cx="5400040" cy="2920365"/>
                    </a:xfrm>
                    <a:prstGeom prst="rect">
                      <a:avLst/>
                    </a:prstGeom>
                  </pic:spPr>
                </pic:pic>
              </a:graphicData>
            </a:graphic>
          </wp:inline>
        </w:drawing>
      </w:r>
    </w:p>
    <w:p>
      <w:pPr>
        <w:pStyle w:val="NormalWeb"/>
        <w:spacing w:beforeAutospacing="0" w:before="0" w:afterAutospacing="0" w:after="0"/>
        <w:rPr/>
      </w:pPr>
      <w:r>
        <w:rPr>
          <w:rFonts w:cs="Calibri" w:ascii="Calibri" w:hAnsi="Calibri"/>
          <w:color w:val="000000"/>
        </w:rPr>
        <w:t>En la tabla se observa el detalle de tares del mes 3.</w:t>
      </w:r>
    </w:p>
    <w:tbl>
      <w:tblPr>
        <w:tblW w:w="9330" w:type="dxa"/>
        <w:jc w:val="left"/>
        <w:tblInd w:w="-891" w:type="dxa"/>
        <w:tblCellMar>
          <w:top w:w="0" w:type="dxa"/>
          <w:left w:w="108" w:type="dxa"/>
          <w:bottom w:w="0" w:type="dxa"/>
          <w:right w:w="108" w:type="dxa"/>
        </w:tblCellMar>
        <w:tblLook w:val="04a0" w:noHBand="0" w:noVBand="1" w:firstColumn="1" w:lastRow="0" w:lastColumn="0" w:firstRow="1"/>
      </w:tblPr>
      <w:tblGrid>
        <w:gridCol w:w="1590"/>
        <w:gridCol w:w="1845"/>
        <w:gridCol w:w="960"/>
        <w:gridCol w:w="1275"/>
        <w:gridCol w:w="2025"/>
        <w:gridCol w:w="1635"/>
      </w:tblGrid>
      <w:tr>
        <w:trPr/>
        <w:tc>
          <w:tcPr>
            <w:tcW w:w="159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Tarea</w:t>
            </w:r>
          </w:p>
        </w:tc>
        <w:tc>
          <w:tcPr>
            <w:tcW w:w="18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Planificado</w:t>
            </w:r>
          </w:p>
        </w:tc>
        <w:tc>
          <w:tcPr>
            <w:tcW w:w="9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Real</w:t>
            </w:r>
          </w:p>
        </w:tc>
        <w:tc>
          <w:tcPr>
            <w:tcW w:w="127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Valor Ganado</w:t>
            </w:r>
          </w:p>
        </w:tc>
        <w:tc>
          <w:tcPr>
            <w:tcW w:w="36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Fecha de Finalización</w:t>
            </w:r>
            <w:r>
              <w:rPr>
                <w:rFonts w:eastAsia="Times New Roman" w:cs="Times New Roman" w:ascii="Times New Roman" w:hAnsi="Times New Roman"/>
                <w:b/>
                <w:bCs/>
                <w:color w:val="000000"/>
                <w:sz w:val="24"/>
                <w:szCs w:val="24"/>
                <w:lang w:eastAsia="es-AR"/>
              </w:rPr>
              <w:t xml:space="preserve"> </w:t>
            </w:r>
          </w:p>
        </w:tc>
      </w:tr>
      <w:tr>
        <w:trPr/>
        <w:tc>
          <w:tcPr>
            <w:tcW w:w="1590"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845"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960"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Planificada</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b/>
                <w:bCs/>
                <w:color w:val="000000"/>
                <w:sz w:val="24"/>
                <w:szCs w:val="24"/>
                <w:lang w:eastAsia="es-AR"/>
              </w:rPr>
              <w:t>Real</w:t>
            </w:r>
          </w:p>
        </w:tc>
      </w:tr>
      <w:tr>
        <w:trPr/>
        <w:tc>
          <w:tcPr>
            <w:tcW w:w="1590"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84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960"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27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202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63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r>
      <w:tr>
        <w:trPr/>
        <w:tc>
          <w:tcPr>
            <w:tcW w:w="1590" w:type="dxa"/>
            <w:tcBorders>
              <w:top w:val="single" w:sz="24" w:space="0" w:color="000000"/>
              <w:left w:val="single" w:sz="24" w:space="0" w:color="000000"/>
              <w:bottom w:val="single" w:sz="24" w:space="0" w:color="000000"/>
              <w:right w:val="single" w:sz="12"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MES 3</w:t>
            </w:r>
          </w:p>
        </w:tc>
        <w:tc>
          <w:tcPr>
            <w:tcW w:w="1845" w:type="dxa"/>
            <w:tcBorders>
              <w:top w:val="single" w:sz="24" w:space="0" w:color="000000"/>
              <w:left w:val="single" w:sz="12" w:space="0" w:color="000000"/>
              <w:bottom w:val="single" w:sz="24" w:space="0" w:color="000000"/>
              <w:right w:val="single" w:sz="12"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240</w:t>
            </w:r>
          </w:p>
        </w:tc>
        <w:tc>
          <w:tcPr>
            <w:tcW w:w="960" w:type="dxa"/>
            <w:tcBorders>
              <w:top w:val="single" w:sz="24" w:space="0" w:color="000000"/>
              <w:left w:val="single" w:sz="12" w:space="0" w:color="000000"/>
              <w:bottom w:val="single" w:sz="24" w:space="0" w:color="000000"/>
              <w:right w:val="single" w:sz="12"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268</w:t>
            </w:r>
          </w:p>
        </w:tc>
        <w:tc>
          <w:tcPr>
            <w:tcW w:w="1275" w:type="dxa"/>
            <w:tcBorders>
              <w:top w:val="single" w:sz="24" w:space="0" w:color="000000"/>
              <w:left w:val="single" w:sz="12" w:space="0" w:color="000000"/>
              <w:bottom w:val="single" w:sz="24" w:space="0" w:color="000000"/>
              <w:right w:val="single" w:sz="12"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238</w:t>
            </w:r>
          </w:p>
        </w:tc>
        <w:tc>
          <w:tcPr>
            <w:tcW w:w="2025" w:type="dxa"/>
            <w:tcBorders>
              <w:top w:val="single" w:sz="24" w:space="0" w:color="000000"/>
              <w:left w:val="single" w:sz="12" w:space="0" w:color="000000"/>
              <w:bottom w:val="single" w:sz="24" w:space="0" w:color="000000"/>
              <w:right w:val="single" w:sz="12"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635" w:type="dxa"/>
            <w:tcBorders>
              <w:top w:val="single" w:sz="24" w:space="0" w:color="000000"/>
              <w:left w:val="single" w:sz="12" w:space="0" w:color="000000"/>
              <w:bottom w:val="single" w:sz="24" w:space="0" w:color="000000"/>
              <w:right w:val="single" w:sz="2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31-Mar</w:t>
            </w:r>
          </w:p>
        </w:tc>
      </w:tr>
      <w:tr>
        <w:trPr/>
        <w:tc>
          <w:tcPr>
            <w:tcW w:w="1590"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Rosa</w:t>
            </w:r>
          </w:p>
        </w:tc>
        <w:tc>
          <w:tcPr>
            <w:tcW w:w="184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16</w:t>
            </w:r>
          </w:p>
        </w:tc>
        <w:tc>
          <w:tcPr>
            <w:tcW w:w="960"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14</w:t>
            </w:r>
          </w:p>
        </w:tc>
        <w:tc>
          <w:tcPr>
            <w:tcW w:w="127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16</w:t>
            </w:r>
          </w:p>
        </w:tc>
        <w:tc>
          <w:tcPr>
            <w:tcW w:w="202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2-Abr</w:t>
            </w:r>
          </w:p>
        </w:tc>
        <w:tc>
          <w:tcPr>
            <w:tcW w:w="163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Violeta</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12</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16</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12</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5-Abr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Roja</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18</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22</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18</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5-Abr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Vermellón</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8</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10</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8</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15-Abr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Azul</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18</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24</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18</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20-Abr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Marrón</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8</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22-Abr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Verde</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10</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16</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10</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22-Abr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Amarilo</w:t>
            </w:r>
          </w:p>
        </w:tc>
        <w:tc>
          <w:tcPr>
            <w:tcW w:w="184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10</w:t>
            </w:r>
          </w:p>
        </w:tc>
        <w:tc>
          <w:tcPr>
            <w:tcW w:w="960"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25-Abr</w:t>
            </w:r>
          </w:p>
        </w:tc>
        <w:tc>
          <w:tcPr>
            <w:tcW w:w="1635" w:type="dxa"/>
            <w:tcBorders>
              <w:top w:val="single" w:sz="4" w:space="0" w:color="000000"/>
              <w:left w:val="single" w:sz="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24" w:space="0" w:color="000000"/>
              <w:left w:val="single" w:sz="2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MES 4</w:t>
            </w:r>
          </w:p>
        </w:tc>
        <w:tc>
          <w:tcPr>
            <w:tcW w:w="1845" w:type="dxa"/>
            <w:tcBorders>
              <w:top w:val="single" w:sz="24" w:space="0" w:color="000000"/>
              <w:left w:val="single" w:sz="4" w:space="0" w:color="000000"/>
              <w:bottom w:val="single" w:sz="2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340</w:t>
            </w:r>
          </w:p>
        </w:tc>
        <w:tc>
          <w:tcPr>
            <w:tcW w:w="960" w:type="dxa"/>
            <w:tcBorders>
              <w:top w:val="single" w:sz="24" w:space="0" w:color="000000"/>
              <w:left w:val="single" w:sz="4" w:space="0" w:color="000000"/>
              <w:bottom w:val="single" w:sz="2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370</w:t>
            </w:r>
          </w:p>
        </w:tc>
        <w:tc>
          <w:tcPr>
            <w:tcW w:w="1275" w:type="dxa"/>
            <w:tcBorders>
              <w:top w:val="single" w:sz="24" w:space="0" w:color="000000"/>
              <w:left w:val="single" w:sz="4" w:space="0" w:color="000000"/>
              <w:bottom w:val="single" w:sz="2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320</w:t>
            </w:r>
          </w:p>
        </w:tc>
        <w:tc>
          <w:tcPr>
            <w:tcW w:w="2025" w:type="dxa"/>
            <w:tcBorders>
              <w:top w:val="single" w:sz="24" w:space="0" w:color="000000"/>
              <w:left w:val="single" w:sz="4" w:space="0" w:color="000000"/>
              <w:bottom w:val="single" w:sz="2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635" w:type="dxa"/>
            <w:tcBorders>
              <w:top w:val="single" w:sz="24" w:space="0" w:color="000000"/>
              <w:left w:val="single" w:sz="4" w:space="0" w:color="000000"/>
              <w:bottom w:val="single" w:sz="24" w:space="0" w:color="000000"/>
              <w:right w:val="single" w:sz="2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30-Abr</w:t>
            </w:r>
          </w:p>
        </w:tc>
      </w:tr>
      <w:tr>
        <w:trPr/>
        <w:tc>
          <w:tcPr>
            <w:tcW w:w="1590"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Marrón*</w:t>
            </w:r>
          </w:p>
        </w:tc>
        <w:tc>
          <w:tcPr>
            <w:tcW w:w="184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960"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22-Abr</w:t>
            </w:r>
          </w:p>
        </w:tc>
        <w:tc>
          <w:tcPr>
            <w:tcW w:w="1635" w:type="dxa"/>
            <w:tcBorders>
              <w:top w:val="single" w:sz="2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Amarillo*</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25-Abr</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Beige</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2-May</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Damasco</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right"/>
              <w:rPr>
                <w:rFonts w:ascii="Times New Roman" w:hAnsi="Times New Roman" w:eastAsia="Times New Roman" w:cs="Times New Roman"/>
                <w:sz w:val="24"/>
                <w:szCs w:val="24"/>
                <w:lang w:eastAsia="es-AR"/>
              </w:rPr>
            </w:pPr>
            <w:r>
              <w:rPr>
                <w:rFonts w:eastAsia="Times New Roman" w:cs="Calibri"/>
                <w:color w:val="000000"/>
                <w:sz w:val="24"/>
                <w:szCs w:val="24"/>
                <w:lang w:eastAsia="es-AR"/>
              </w:rPr>
              <w:t>2</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5-May</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tc>
      </w:tr>
      <w:tr>
        <w:trPr/>
        <w:tc>
          <w:tcPr>
            <w:tcW w:w="15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2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20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Calibri"/>
                <w:color w:val="000000"/>
                <w:sz w:val="24"/>
                <w:szCs w:val="24"/>
                <w:lang w:eastAsia="es-AR"/>
              </w:rPr>
              <w:t>…</w:t>
            </w:r>
          </w:p>
        </w:tc>
      </w:tr>
    </w:tbl>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El esfuerzo (días-hombre) "planificado" de cada tarea puede "ganarse" cuando esta se completa.</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La tabla de tareas muestra que las actividades del Mes 4 se han sumado para llegar a 370, 340 y 320 días-hombre acumulados respectivamente.</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Los totales acumulados mensuales consideran solo aquellas tareas que se han completado. Dos tareas, "Amarillo" y "Marrón", no se han iniciado y se incluirán en el recuente del siguiente mes. No hay actividades parcialmente ejecutadas.</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Mediante la aplicación de Gestión de Valor Ganado (EVM), responda las siguientes preguntas:</w:t>
      </w:r>
    </w:p>
    <w:p>
      <w:pPr>
        <w:pStyle w:val="Normal"/>
        <w:numPr>
          <w:ilvl w:val="0"/>
          <w:numId w:val="1"/>
        </w:numPr>
        <w:spacing w:lineRule="auto" w:line="240" w:before="0" w:after="0"/>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t>¿Cuál es la diferencia de costo actual medida por la Variación de Costos (CV)?</w:t>
      </w:r>
    </w:p>
    <w:p>
      <w:pPr>
        <w:pStyle w:val="NormalWeb"/>
        <w:numPr>
          <w:ilvl w:val="0"/>
          <w:numId w:val="1"/>
        </w:numPr>
        <w:spacing w:beforeAutospacing="0" w:before="0" w:afterAutospacing="0" w:after="0"/>
        <w:textAlignment w:val="baseline"/>
        <w:rPr>
          <w:rFonts w:ascii="Calibri" w:hAnsi="Calibri" w:cs="Calibri"/>
          <w:color w:val="000000"/>
        </w:rPr>
      </w:pPr>
      <w:r>
        <w:rPr>
          <w:rFonts w:cs="Calibri" w:ascii="Calibri" w:hAnsi="Calibri"/>
          <w:color w:val="000000"/>
        </w:rPr>
        <w:t>¿Cuál es la productividad del trabajo actual medida por el Índice de Rendimiento de Costos (CPI)?</w:t>
      </w:r>
    </w:p>
    <w:p>
      <w:pPr>
        <w:pStyle w:val="NormalWeb"/>
        <w:numPr>
          <w:ilvl w:val="0"/>
          <w:numId w:val="1"/>
        </w:numPr>
        <w:spacing w:beforeAutospacing="0" w:before="0" w:afterAutospacing="0" w:after="0"/>
        <w:textAlignment w:val="baseline"/>
        <w:rPr>
          <w:rFonts w:ascii="Calibri" w:hAnsi="Calibri" w:cs="Calibri"/>
          <w:color w:val="000000"/>
        </w:rPr>
      </w:pPr>
      <w:r>
        <w:rPr>
          <w:rFonts w:cs="Calibri" w:ascii="Calibri" w:hAnsi="Calibri"/>
          <w:color w:val="000000"/>
        </w:rPr>
        <w:t>¿Cuál es la diferencia del cronograma actual según lo medido por la Variación de Cronograma (SV)?</w:t>
      </w:r>
    </w:p>
    <w:p>
      <w:pPr>
        <w:pStyle w:val="NormalWeb"/>
        <w:numPr>
          <w:ilvl w:val="0"/>
          <w:numId w:val="1"/>
        </w:numPr>
        <w:spacing w:beforeAutospacing="0" w:before="0" w:afterAutospacing="0" w:after="0"/>
        <w:textAlignment w:val="baseline"/>
        <w:rPr>
          <w:rFonts w:ascii="Calibri" w:hAnsi="Calibri" w:cs="Calibri"/>
          <w:color w:val="000000"/>
        </w:rPr>
      </w:pPr>
      <w:r>
        <w:rPr>
          <w:rFonts w:cs="Calibri" w:ascii="Calibri" w:hAnsi="Calibri"/>
          <w:color w:val="000000"/>
        </w:rPr>
        <w:t>¿Cuál es la eficiencia del cronograma actual según lo medido por el Índice de Rendimiento del Cronograma (SPI)?</w:t>
      </w:r>
    </w:p>
    <w:p>
      <w:pPr>
        <w:pStyle w:val="NormalWeb"/>
        <w:numPr>
          <w:ilvl w:val="0"/>
          <w:numId w:val="1"/>
        </w:numPr>
        <w:spacing w:beforeAutospacing="0" w:before="0" w:afterAutospacing="0" w:after="0"/>
        <w:rPr>
          <w:rFonts w:ascii="Calibri" w:hAnsi="Calibri" w:cs="Calibri"/>
          <w:color w:val="000000"/>
        </w:rPr>
      </w:pPr>
      <w:r>
        <w:rPr>
          <w:rFonts w:cs="Calibri" w:ascii="Calibri" w:hAnsi="Calibri"/>
          <w:color w:val="000000"/>
        </w:rPr>
        <w:t>¿Cuál es la estimación del costo total proyectada al finalizar (EAC)?</w:t>
      </w:r>
    </w:p>
    <w:p>
      <w:pPr>
        <w:pStyle w:val="NormalWeb"/>
        <w:numPr>
          <w:ilvl w:val="0"/>
          <w:numId w:val="2"/>
        </w:numPr>
        <w:spacing w:beforeAutospacing="0" w:before="0" w:afterAutospacing="0" w:after="0"/>
        <w:ind w:left="708" w:hanging="360"/>
        <w:textAlignment w:val="baseline"/>
        <w:rPr>
          <w:rFonts w:ascii="Calibri" w:hAnsi="Calibri" w:cs="Calibri"/>
          <w:color w:val="000000"/>
        </w:rPr>
      </w:pPr>
      <w:r>
        <w:rPr>
          <w:rFonts w:cs="Calibri" w:ascii="Calibri" w:hAnsi="Calibri"/>
          <w:color w:val="000000"/>
        </w:rPr>
        <w:t>Si suponemos que la variación de los costos fue atípica (y el resto del proyecto se desarrollará según lo planeado originalmente)</w:t>
      </w:r>
    </w:p>
    <w:p>
      <w:pPr>
        <w:pStyle w:val="Normal"/>
        <w:numPr>
          <w:ilvl w:val="0"/>
          <w:numId w:val="2"/>
        </w:numPr>
        <w:spacing w:lineRule="auto" w:line="240" w:before="0" w:after="0"/>
        <w:ind w:left="708" w:hanging="360"/>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t>Si suponemos que la variación de los costos fue típica (y el resto del proyecto tendrá una variación proporcional)?</w:t>
      </w:r>
    </w:p>
    <w:p>
      <w:pPr>
        <w:pStyle w:val="Normal"/>
        <w:numPr>
          <w:ilvl w:val="0"/>
          <w:numId w:val="2"/>
        </w:numPr>
        <w:spacing w:lineRule="auto" w:line="240" w:before="0" w:after="0"/>
        <w:ind w:left="708" w:hanging="360"/>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t>Si suponemos que podemos volver a planear el proyecto restante y hacer una estimación completamente nueva?</w:t>
      </w:r>
    </w:p>
    <w:p>
      <w:pPr>
        <w:pStyle w:val="Normal"/>
        <w:spacing w:lineRule="auto" w:line="240" w:before="0" w:after="0"/>
        <w:rPr>
          <w:rFonts w:ascii="Times New Roman" w:hAnsi="Times New Roman" w:eastAsia="Times New Roman" w:cs="Times New Roman"/>
          <w:sz w:val="24"/>
          <w:szCs w:val="24"/>
          <w:lang w:eastAsia="es-AR"/>
        </w:rPr>
      </w:pPr>
      <w:r>
        <w:rPr>
          <w:rFonts w:eastAsia="Times New Roman" w:cs="Calibri"/>
          <w:color w:val="000000"/>
          <w:sz w:val="24"/>
          <w:szCs w:val="24"/>
          <w:lang w:eastAsia="es-AR"/>
        </w:rPr>
        <w:t>6. ¿Cuál es el plazo proyectado al finalizar (EACt)?</w:t>
      </w:r>
    </w:p>
    <w:p>
      <w:pPr>
        <w:pStyle w:val="Normal"/>
        <w:numPr>
          <w:ilvl w:val="0"/>
          <w:numId w:val="3"/>
        </w:numPr>
        <w:spacing w:lineRule="auto" w:line="240" w:before="0" w:after="0"/>
        <w:ind w:left="708" w:hanging="360"/>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t>Si suponemos que la variación del cronograma fue atípica (y el resto del proyecto será como originalmente planeado)</w:t>
      </w:r>
    </w:p>
    <w:p>
      <w:pPr>
        <w:pStyle w:val="Normal"/>
        <w:numPr>
          <w:ilvl w:val="0"/>
          <w:numId w:val="3"/>
        </w:numPr>
        <w:spacing w:lineRule="auto" w:line="240" w:before="0" w:after="0"/>
        <w:ind w:left="708" w:hanging="360"/>
        <w:textAlignment w:val="baseline"/>
        <w:rPr>
          <w:rFonts w:ascii="Calibri" w:hAnsi="Calibri" w:eastAsia="Times New Roman" w:cs="Calibri"/>
          <w:color w:val="000000"/>
          <w:sz w:val="24"/>
          <w:szCs w:val="24"/>
          <w:lang w:eastAsia="es-AR"/>
        </w:rPr>
      </w:pPr>
      <w:r>
        <w:rPr>
          <w:rFonts w:cs="Calibri"/>
          <w:color w:val="000000"/>
        </w:rPr>
        <w:t>Si suponemos que la variación del cronograma fue típica (y la el resto del proyecto tendrá una variación proporcional)</w:t>
      </w:r>
    </w:p>
    <w:p>
      <w:pPr>
        <w:pStyle w:val="ListParagraph"/>
        <w:numPr>
          <w:ilvl w:val="0"/>
          <w:numId w:val="3"/>
        </w:numPr>
        <w:spacing w:lineRule="auto" w:line="240" w:before="0" w:after="0"/>
        <w:contextualSpacing/>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t>Si suponemos que podemos volver a planificar el proyecto restante y hacer una estimación completamente nueva</w:t>
      </w:r>
    </w:p>
    <w:p>
      <w:pPr>
        <w:pStyle w:val="Normal"/>
        <w:spacing w:lineRule="auto" w:line="240" w:before="0" w:after="0"/>
        <w:ind w:left="708" w:hanging="0"/>
        <w:textAlignment w:val="baseline"/>
        <w:rPr>
          <w:rFonts w:ascii="Calibri" w:hAnsi="Calibri" w:eastAsia="Times New Roman" w:cs="Calibri"/>
          <w:color w:val="000000"/>
          <w:sz w:val="24"/>
          <w:szCs w:val="24"/>
          <w:lang w:eastAsia="es-AR"/>
        </w:rPr>
      </w:pPr>
      <w:r>
        <w:rPr>
          <w:rFonts w:eastAsia="Times New Roman" w:cs="Calibri"/>
          <w:color w:val="000000"/>
          <w:sz w:val="24"/>
          <w:szCs w:val="24"/>
          <w:lang w:eastAsia="es-AR"/>
        </w:rPr>
      </w:r>
    </w:p>
    <w:p>
      <w:pPr>
        <w:pStyle w:val="NormalWeb"/>
        <w:spacing w:beforeAutospacing="0" w:before="0" w:afterAutospacing="0" w:after="0"/>
        <w:ind w:left="708" w:hanging="0"/>
        <w:textAlignment w:val="baseline"/>
        <w:rPr>
          <w:rFonts w:ascii="Calibri" w:hAnsi="Calibri" w:cs="Calibri"/>
          <w:color w:val="000000"/>
        </w:rPr>
      </w:pPr>
      <w:r>
        <w:rPr>
          <w:rFonts w:cs="Calibri" w:ascii="Calibri" w:hAnsi="Calibri"/>
          <w:color w:val="000000"/>
        </w:rPr>
      </w:r>
    </w:p>
    <w:p>
      <w:pPr>
        <w:pStyle w:val="Normal"/>
        <w:jc w:val="both"/>
        <w:rPr/>
      </w:pPr>
      <w:r>
        <w:rPr/>
      </w:r>
    </w:p>
    <w:p>
      <w:pPr>
        <w:pStyle w:val="Normal"/>
        <w:spacing w:before="0" w:after="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b2056"/>
    <w:pPr>
      <w:spacing w:lineRule="auto" w:line="240" w:beforeAutospacing="1" w:afterAutospacing="1"/>
    </w:pPr>
    <w:rPr>
      <w:rFonts w:ascii="Times New Roman" w:hAnsi="Times New Roman" w:eastAsia="Times New Roman" w:cs="Times New Roman"/>
      <w:sz w:val="24"/>
      <w:szCs w:val="24"/>
      <w:lang w:eastAsia="es-AR"/>
    </w:rPr>
  </w:style>
  <w:style w:type="paragraph" w:styleId="ListParagraph">
    <w:name w:val="List Paragraph"/>
    <w:basedOn w:val="Normal"/>
    <w:uiPriority w:val="34"/>
    <w:qFormat/>
    <w:rsid w:val="0069216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LibreOffice/6.4.7.2$Linux_X86_64 LibreOffice_project/40$Build-2</Application>
  <Pages>4</Pages>
  <Words>1024</Words>
  <Characters>5216</Characters>
  <CharactersWithSpaces>6121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2021-10-19T17:57:00Z</dcterms:created>
  <dc:creator>Barbara Garattoni</dc:creator>
  <dc:description/>
  <dc:language>es-AR</dc:language>
  <cp:lastModifiedBy/>
  <dcterms:modified xsi:type="dcterms:W3CDTF">2021-11-28T19:31:24Z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