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B2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TIEMPO DE LA EVALUACIÓN: 150 MINUTOS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OBJETIVO DE LA EVALUACIÓN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Evaluar el siguiente conocimiento práctico del alumno en ambiente de laboratorio con simulador, demostrando habilidades en:</w:t>
      </w:r>
    </w:p>
    <w:tbl>
      <w:tblPr>
        <w:tblStyle w:val="Table1"/>
        <w:tblW w:w="100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1"/>
        <w:gridCol w:w="1361"/>
        <w:gridCol w:w="1311"/>
        <w:tblGridChange w:id="0">
          <w:tblGrid>
            <w:gridCol w:w="7351"/>
            <w:gridCol w:w="1361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</w:t>
            </w:r>
          </w:p>
          <w:p w:rsidR="00000000" w:rsidDel="00000000" w:rsidP="00000000" w:rsidRDefault="00000000" w:rsidRPr="00000000" w14:paraId="00000007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 EVALUACIÓN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PUNTAJE</w:t>
            </w:r>
          </w:p>
          <w:p w:rsidR="00000000" w:rsidDel="00000000" w:rsidP="00000000" w:rsidRDefault="00000000" w:rsidRPr="00000000" w14:paraId="00000009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CORRECTO 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PUNTAJE OBTENIDO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464" w:right="0" w:hanging="464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APROBAR (4 puntos obtenidos sobre 6 puntos correctos)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1 VLAN corporativa.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enrutamiento dinámico en routers de la red WAN.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Túnel IPSec entre el segmento 3  y Sucursal 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Resolución del direccionamiento con subredes básico.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filtros de paquetes con ACL extendidas en un router.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464" w:right="0" w:hanging="464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PROMOCIONAR EN BASE A PROMEDIO CON EVAL56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Resolución del direccionamiento con subredes VLSM.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la 2da VLAN corporativa.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enrutamiento entre VLANs o encaminamiento mediante router.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acceso seguro por medio de WLAN a usuarios móviles.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enrutamiento estático en routers de la red WAN.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0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parámetros de administración segura de router o switch.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40" w:lineRule="auto"/>
        <w:ind w:firstLine="35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están autorizados los elementos de consulta e Internet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(EXCEPTO consultas mediante celulares, email u otro medio que indique fraude con otra persona)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24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DATOS PARA EL DIRECCIONAMIENTO Y CÁLCULO DE SUBREDES</w:t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Red A: …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12.12.12.0 / 24.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35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Red B: …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160.160.0.0 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yellow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Red C: ...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172.30.0.0 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yellow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Red M: ...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172.16. 0.128 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yellow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2835"/>
        <w:gridCol w:w="2303"/>
        <w:gridCol w:w="2552"/>
        <w:tblGridChange w:id="0">
          <w:tblGrid>
            <w:gridCol w:w="2518"/>
            <w:gridCol w:w="2835"/>
            <w:gridCol w:w="2303"/>
            <w:gridCol w:w="255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DATOS CORPORATIVOS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DIRECCION DE</w:t>
            </w:r>
          </w:p>
          <w:p w:rsidR="00000000" w:rsidDel="00000000" w:rsidP="00000000" w:rsidRDefault="00000000" w:rsidRPr="00000000" w14:paraId="0000003B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RED / SUBRED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SUBRED CALCULADA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RANGO DE HOST ÚTIL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tabs>
                <w:tab w:val="left" w:leader="none" w:pos="916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120" w:before="12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Sucursal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12.12.12.0 /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Sin subredes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tabs>
                <w:tab w:val="left" w:leader="none" w:pos="916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Sucursal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segmento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Subred 8 de</w:t>
            </w:r>
          </w:p>
          <w:p w:rsidR="00000000" w:rsidDel="00000000" w:rsidP="00000000" w:rsidRDefault="00000000" w:rsidRPr="00000000" w14:paraId="00000045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Sucursal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segmento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Subred 24 de</w:t>
            </w:r>
          </w:p>
          <w:p w:rsidR="00000000" w:rsidDel="00000000" w:rsidP="00000000" w:rsidRDefault="00000000" w:rsidRPr="00000000" w14:paraId="0000004C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VLAN 20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/ Red METROPOLITANA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192.168.20.0/24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Sin subredes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VLAN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/ Red METROPOLITANA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right="-108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Subred 3 con </w:t>
            </w:r>
          </w:p>
          <w:p w:rsidR="00000000" w:rsidDel="00000000" w:rsidP="00000000" w:rsidRDefault="00000000" w:rsidRPr="00000000" w14:paraId="00000057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right="-108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VLSM /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highlight w:val="yellow"/>
                <w:rtl w:val="0"/>
              </w:rPr>
              <w:t xml:space="preserve">29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de Red 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24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CASO DE EVALUACIÓN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88" w:right="0" w:hanging="4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 realizará el ejercicio de evaluación sobre la topología y el diseño que se indica en el siguiente gráfico, a partir del cual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 alumno construirá el escenario  con el simulador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88" w:right="0" w:hanging="4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 alumno se desempeñará como Administrador de la LAN METROPOLITANA y de las Sucursales A y B para  realizar las configuraciones o modificaciones necesarias.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88" w:right="0" w:hanging="4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 segmento 3 brinda acceso cableado para usuarios del dominio (PC3) y deberá brindar acceso wireless para Clientes MÓVILES declarados.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Todos los usuarios del segmento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pueden acceder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Web Server Corporativo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pero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deben utilizar el túnel IPSec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88" w:right="0" w:hanging="4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 segmento 2 tiene acceso cableado y cualquier PC del mismo puede comunicarse 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con el Web Server Corporativo, localizado en la Sucursal A.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88" w:right="0" w:hanging="4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Respecto 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LAN METROPOLITANA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las capas ACCESO y DISTRIBUCIÓN tienen configuradas 2 VLANs productivas, que limitan sus dominios respectivos para que las PCs sólo se puedan comunicar internamente.  La capa NÚCLEO dispone del router homónimo.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 deberá permitirse el enrutamiento entre las 2 VLANs en el router NUCLEO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excepto la que debe encaminar el tráfico hacia la WAN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 Se deben aplicar políticas de seguridad mediante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ACL para garantizar el encaminamiento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sólo de la VLAN autorizada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8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57" w:firstLine="36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803900" cy="561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24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DATOS DE CONFIGURACIÓN OBLIGATORIOS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CUALQUIER DATO FALTANTE, SERÁ DADO POR EL DOCENTE.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VLAN 20 PERSONAL: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 (según datos / cálculo).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SÓLO esta VLAN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debe poder encaminar su tráfico mediante la WAN hacia la Sucursal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VLAN 30 MATERIALES: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 (según datos / cálculo).  Su tráfico no puede salir de la LAN Metropolitana.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nombres de los equipos son: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router1, router2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88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Modo Privilegiado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88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red WAN corporativa utiliza el protocolo de enrutamiento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EIGRP, Sist Autónomo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IP Web Server Corporativo: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12.12.12.12.  Debe tener activo HTTPS e inactivo HTTP.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requiere Túnel IPSec: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desde el segmento 3 de la sucursal B hacia la sucursal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Los datos de seguridad del túnel serán definidos por el alumno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segmento 2 tiene acceso cableado y cualquier PC del mismo puede comunicarse 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Web Server Corporativo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localizado en la Sucursal 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segmento 3 brinda acceso cableado para usuarios del dominio (PC3) y deberá brindar acceso wireless para Clientes MÓVILES declarados.  Todos los usuarios o clientes móviles pueden acceder al Web Server Corporativo, si cumplen las políticas de seguridad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Parámetros de Administración del AP: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de administración: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de host útil más alta del rango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 de administración: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Desactivación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administración wireless, de modo remoto y UPnP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Parámetros básicos de comunicaciones wireless: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Modo de red: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SSID: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Canal wireless: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Desactivación de la difusión del SSID.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Servicios: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Sólo activar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DHCP para hasta 5 dispositivos móviles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primeras 5 direcciones de hosts útiles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Filtros de direcciones MAC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sólo permitir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la PDA-PT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MÓVIL.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Parámetros de cifrado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Autenticación: protocolo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definido por el alumno,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clave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Encripción o cifrado: protocolo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definido por el alumno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Otros parámetros de comunicaciones y seguridad: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serán definidos por el alumno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 son necesarios.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de acceso para mejorar la seguridad en la red LAN METROPOLITANA: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224" w:right="0" w:hanging="504.0000000000000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filtro ACL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paquetes salientes de la VLAN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sólo permita segmentos TCP / puerto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443 (HTTPS)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 tienen como origen la IP de la PC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hacia el Web Server Corporativo.  Además, desde cualquiera de las PC de la VLAN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debe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PING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hacia la red 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Sucursal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los demás paquetes salientes de la VLAN 20 deben ser rechazados.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24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RESULTADO REQUERIDO DE LA EVALUACIÓN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24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puntos obtenidos sobre 6 puntos correctos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los requeridos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A. PARA APROBAR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24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requerimientos del apartado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B. PARA PROMOCIONAR EN BASE A PROMEDIO CON EVAL56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serán sumados si se satisface el mínimo de los 4 puntos para aprobar.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1702" w:left="851" w:right="75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- 4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37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567" w:line="240" w:lineRule="auto"/>
      <w:ind w:left="-993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142875</wp:posOffset>
              </wp:positionH>
              <wp:positionV relativeFrom="paragraph">
                <wp:posOffset>219075</wp:posOffset>
              </wp:positionV>
              <wp:extent cx="6654800" cy="7493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10650" y="3394225"/>
                        <a:ext cx="6654800" cy="749300"/>
                        <a:chOff x="2010650" y="3394225"/>
                        <a:chExt cx="6670700" cy="771550"/>
                      </a:xfrm>
                    </wpg:grpSpPr>
                    <wpg:grpSp>
                      <wpg:cNvGrpSpPr/>
                      <wpg:grpSpPr>
                        <a:xfrm>
                          <a:off x="2017013" y="3400588"/>
                          <a:ext cx="6657975" cy="758825"/>
                          <a:chOff x="0" y="0"/>
                          <a:chExt cx="6657975" cy="7588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65797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1745684" cy="758825"/>
                          </a:xfrm>
                          <a:custGeom>
                            <a:rect b="b" l="l" r="r" t="t"/>
                            <a:pathLst>
                              <a:path extrusionOk="0" h="758825" w="1745684">
                                <a:moveTo>
                                  <a:pt x="0" y="0"/>
                                </a:moveTo>
                                <a:lnTo>
                                  <a:pt x="0" y="758825"/>
                                </a:lnTo>
                                <a:lnTo>
                                  <a:pt x="1745684" y="758825"/>
                                </a:lnTo>
                                <a:lnTo>
                                  <a:pt x="1745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REDES DE INFORMACION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Ing Sist Infor – UTN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Evaluación de Laboratorios 1234 – 1er Cuat 2017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96059" y="0"/>
                            <a:ext cx="3730702" cy="758825"/>
                          </a:xfrm>
                          <a:custGeom>
                            <a:rect b="b" l="l" r="r" t="t"/>
                            <a:pathLst>
                              <a:path extrusionOk="0" h="758825" w="3730702">
                                <a:moveTo>
                                  <a:pt x="0" y="0"/>
                                </a:moveTo>
                                <a:lnTo>
                                  <a:pt x="0" y="758825"/>
                                </a:lnTo>
                                <a:lnTo>
                                  <a:pt x="3730702" y="758825"/>
                                </a:lnTo>
                                <a:lnTo>
                                  <a:pt x="3730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ALUMNO .……..........………..…………………….....................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LEGAJO ……....………………….…..……................................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426761" y="0"/>
                            <a:ext cx="1231213" cy="758825"/>
                          </a:xfrm>
                          <a:custGeom>
                            <a:rect b="b" l="l" r="r" t="t"/>
                            <a:pathLst>
                              <a:path extrusionOk="0" h="758825" w="1231213">
                                <a:moveTo>
                                  <a:pt x="0" y="0"/>
                                </a:moveTo>
                                <a:lnTo>
                                  <a:pt x="0" y="758825"/>
                                </a:lnTo>
                                <a:lnTo>
                                  <a:pt x="1231213" y="758825"/>
                                </a:lnTo>
                                <a:lnTo>
                                  <a:pt x="123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NOTA: …………...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……………………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142875</wp:posOffset>
              </wp:positionH>
              <wp:positionV relativeFrom="paragraph">
                <wp:posOffset>219075</wp:posOffset>
              </wp:positionV>
              <wp:extent cx="6654800" cy="7493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4800" cy="749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