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Natalia Quinteros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Britto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Lucas Alé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Waldo Cayo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Graciana Porris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Ornella Bianchi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Tatiana Sanagua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Montenegro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hd w:fill="ffc000" w:val="clear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DAILY  15/05/2023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DEL DÍA DE LA 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Equipo front: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708.6614173228347" w:hanging="283.4645669291337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Waldo Cayo: Se mejoró la barra de navegación y se creó el footer.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Equipo back: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259" w:lineRule="auto"/>
        <w:ind w:left="720" w:hanging="294.80314960629914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Nico Britto: Hizo el CRUD de la entidad usuario.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59" w:lineRule="auto"/>
        <w:ind w:left="720" w:hanging="294.80314960629914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Graciana Porris: Empezó a trabajar en las listas de rubros.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60" w:line="259" w:lineRule="auto"/>
        <w:ind w:left="720" w:hanging="294.80314960629914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Tatiana Sanagua: Empezó a trabajar en la vista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más info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la clase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proveedor.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