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</w:t>
      </w:r>
      <w:r>
        <w:t xml:space="preserve"> </w:t>
      </w:r>
      <w:r>
        <w:t xml:space="preserve">Pricing</w:t>
      </w:r>
      <w:r>
        <w:t xml:space="preserve"> </w:t>
      </w:r>
      <w:r>
        <w:t xml:space="preserve">Pipeline</w:t>
      </w:r>
    </w:p>
    <w:p>
      <w:pPr>
        <w:pStyle w:val="Subtitle"/>
      </w:pPr>
      <w:r>
        <w:t xml:space="preserve">Technical</w:t>
      </w:r>
      <w:r>
        <w:t xml:space="preserve"> </w:t>
      </w:r>
      <w:r>
        <w:t xml:space="preserve">and</w:t>
      </w:r>
      <w:r>
        <w:t xml:space="preserve"> </w:t>
      </w:r>
      <w:r>
        <w:t xml:space="preserve">Actuarial</w:t>
      </w:r>
      <w:r>
        <w:t xml:space="preserve"> </w:t>
      </w:r>
      <w:r>
        <w:t xml:space="preserve">Documentation</w:t>
      </w:r>
    </w:p>
    <w:p>
      <w:pPr>
        <w:pStyle w:val="Author"/>
      </w:pPr>
      <w:r>
        <w:t xml:space="preserve">Francisco</w:t>
      </w:r>
      <w:r>
        <w:t xml:space="preserve"> </w:t>
      </w:r>
      <w:r>
        <w:t xml:space="preserve">Martinez</w:t>
      </w:r>
      <w:r>
        <w:t xml:space="preserve"> </w:t>
      </w:r>
      <w:r>
        <w:t xml:space="preserve">Checa</w:t>
      </w:r>
    </w:p>
    <w:p>
      <w:pPr>
        <w:pStyle w:val="Date"/>
      </w:pPr>
      <w:r>
        <w:t xml:space="preserve">June</w:t>
      </w:r>
      <w:r>
        <w:t xml:space="preserve"> </w:t>
      </w:r>
      <w:r>
        <w:t xml:space="preserve">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Cs/>
          <w:i/>
        </w:rPr>
        <w:t xml:space="preserve">Reinsurance</w:t>
      </w:r>
      <w:r>
        <w:rPr>
          <w:iCs/>
          <w:i/>
        </w:rPr>
        <w:t xml:space="preserve"> </w:t>
      </w:r>
      <w:r>
        <w:rPr>
          <w:iCs/>
          <w:i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Pre-process.</w:t>
      </w:r>
      <w:r>
        <w:t xml:space="preserve"> </w:t>
      </w:r>
      <w:r>
        <w:t xml:space="preserve">Each historical loss is trended to the valuation year for</w:t>
      </w:r>
      <w:r>
        <w:t xml:space="preserve"> </w:t>
      </w:r>
      <w:r>
        <w:t xml:space="preserve">loss inflation, so old losses are stated in today’s money. The change in book</w:t>
      </w:r>
      <w:r>
        <w:t xml:space="preserve"> </w:t>
      </w:r>
      <w:r>
        <w:t xml:space="preserve">size is handled separately, on the frequency side (exposure is a volume</w:t>
      </w:r>
      <w:r>
        <w:t xml:space="preserve"> </w:t>
      </w:r>
      <w:r>
        <w:t xml:space="preserve">measure).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</w:t>
      </w:r>
      <w:r>
        <w:t xml:space="preserve">More information</w:t>
      </w:r>
      <w:r>
        <w:t xml:space="preserve">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00"/>
        <w:gridCol w:w="1900"/>
        <w:gridCol w:w="41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Reinsurance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</w:t>
      </w:r>
      <w:r>
        <w:t xml:space="preserve"> </w:t>
      </w:r>
      <w:r>
        <w:t xml:space="preserve">Excel). All fitting uses base R (</w:t>
      </w:r>
      <w:r>
        <w:rPr>
          <w:rStyle w:val="VerbatimChar"/>
        </w:rPr>
        <w:t xml:space="preserve">stats</w:t>
      </w:r>
      <w:r>
        <w:t xml:space="preserve">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 run</w:t>
      </w:r>
      <w:r>
        <w:t xml:space="preserve"> </w:t>
      </w:r>
      <w:r>
        <w:t xml:space="preserve">the test suite. These are installed automatically on first run (see below).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runs with no console window and opens the dashboard in the default</w:t>
      </w:r>
      <w:r>
        <w:t xml:space="preserve"> </w:t>
      </w:r>
      <w:r>
        <w:t xml:space="preserve">browser.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p>
      <w:pPr>
        <w:pStyle w:val="BodyText"/>
      </w:pPr>
      <w:r>
        <w:t xml:space="preserve">Some company computers block script files (</w:t>
      </w:r>
      <w:r>
        <w:rPr>
          <w:rStyle w:val="VerbatimChar"/>
        </w:rPr>
        <w:t xml:space="preserve">.vbs</w:t>
      </w:r>
      <w:r>
        <w:t xml:space="preserve">) outright, so</w:t>
      </w:r>
      <w:r>
        <w:t xml:space="preserve"> </w:t>
      </w:r>
      <w:r>
        <w:t xml:space="preserve">double-clicking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does nothing.</w:t>
      </w:r>
      <w:r>
        <w:t xml:space="preserve"> </w:t>
      </w:r>
      <w:r>
        <w:rPr>
          <w:rStyle w:val="VerbatimChar"/>
        </w:rPr>
        <w:t xml:space="preserve">Start in RStudio.R</w:t>
      </w:r>
      <w:r>
        <w:t xml:space="preserve">, in the same top</w:t>
      </w:r>
      <w:r>
        <w:t xml:space="preserve"> </w:t>
      </w:r>
      <w:r>
        <w:t xml:space="preserve">folder, is the fallback for that case: open it in RStudio and click Source (or</w:t>
      </w:r>
      <w:r>
        <w:t xml:space="preserve"> </w:t>
      </w:r>
      <w:r>
        <w:t xml:space="preserve">press Ctrl+Shift+S). It does the same job as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, just launched through</w:t>
      </w:r>
      <w:r>
        <w:t xml:space="preserve"> </w:t>
      </w:r>
      <w:r>
        <w:t xml:space="preserve">R itself rather than a script file, which those blocks do not touch. It finds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folder next to itself, installs any missing packages the same way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 </w:t>
      </w:r>
      <w:r>
        <w:t xml:space="preserve">does, and opens the dashboard in the browser.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Double-click launcher; runs with no console 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 in RStudio.R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launcher for when</w:t>
            </w:r>
            <w:r>
              <w:t xml:space="preserve"> </w:t>
            </w:r>
            <w:r>
              <w:rPr>
                <w:rStyle w:val="VerbatimChar"/>
              </w:rPr>
              <w:t xml:space="preserve">.vbs</w:t>
            </w:r>
            <w:r>
              <w:t xml:space="preserve"> </w:t>
            </w:r>
            <w:r>
              <w:t xml:space="preserve">files are blocked; run from inside RStudio.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rPr>
          <w:bCs/>
          <w:b/>
        </w:rPr>
        <w:t xml:space="preserve">The everyday way is to just double-click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start.vbs</w:t>
      </w:r>
      <w:r>
        <w:rPr>
          <w:bCs/>
          <w:b/>
        </w:rPr>
        <w:t xml:space="preserve">.</w:t>
      </w:r>
      <w:r>
        <w:t xml:space="preserve"> </w:t>
      </w:r>
      <w:r>
        <w:t xml:space="preserve">That is all an end</w:t>
      </w:r>
      <w:r>
        <w:t xml:space="preserve"> </w:t>
      </w:r>
      <w:r>
        <w:t xml:space="preserve">user needs to do: it installs anything missing on the first run and opens the</w:t>
      </w:r>
      <w:r>
        <w:t xml:space="preserve"> </w:t>
      </w:r>
      <w:r>
        <w:t xml:space="preserve">dashboard in the browser (see Installation and first run above).</w:t>
      </w:r>
      <w:r>
        <w:t xml:space="preserve"> </w:t>
      </w:r>
      <w:r>
        <w:t xml:space="preserve">No commands and no R knowledge are required. If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files are blocked</w:t>
      </w:r>
      <w:r>
        <w:t xml:space="preserve"> </w:t>
      </w:r>
      <w:r>
        <w:t xml:space="preserve">on the machine, open</w:t>
      </w:r>
      <w:r>
        <w:t xml:space="preserve"> </w:t>
      </w:r>
      <w:r>
        <w:rPr>
          <w:rStyle w:val="VerbatimChar"/>
        </w:rPr>
        <w:t xml:space="preserve">Start in RStudio.R</w:t>
      </w:r>
      <w:r>
        <w:t xml:space="preserve"> </w:t>
      </w:r>
      <w:r>
        <w:t xml:space="preserve">in RStudio and click Source instead;</w:t>
      </w:r>
      <w:r>
        <w:t xml:space="preserve"> </w:t>
      </w:r>
      <w:r>
        <w:t xml:space="preserve">it does the same job through R rather than a script file.</w:t>
      </w:r>
    </w:p>
    <w:p>
      <w:pPr>
        <w:pStyle w:val="BodyText"/>
      </w:pPr>
      <w:r>
        <w:t xml:space="preserve">The rest of this section is for developers and advanced use only, and needs</w:t>
      </w:r>
      <w:r>
        <w:t xml:space="preserve"> </w:t>
      </w:r>
      <w:r>
        <w:t xml:space="preserve">the full source repository, not the release zip, since the release zip only</w:t>
      </w:r>
      <w:r>
        <w:t xml:space="preserve"> </w:t>
      </w:r>
      <w:r>
        <w:t xml:space="preserve">ships what an end user needs to run the tool and leaves out the test suite</w:t>
      </w:r>
      <w:r>
        <w:t xml:space="preserve"> </w:t>
      </w:r>
      <w:r>
        <w:t xml:space="preserve">and other developer-only files. These commands all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"shiny::runApp('.', launch.browser = TRUE)"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  <w:r>
        <w:t xml:space="preserve"> </w:t>
      </w:r>
      <w:r>
        <w:rPr>
          <w:rStyle w:val="VerbatimChar"/>
        </w:rPr>
        <w:t xml:space="preserve">launch.browser = TRUE</w:t>
      </w:r>
      <w:r>
        <w:t xml:space="preserve"> </w:t>
      </w:r>
      <w:r>
        <w:t xml:space="preserve">is</w:t>
      </w:r>
      <w:r>
        <w:t xml:space="preserve"> </w:t>
      </w:r>
      <w:r>
        <w:t xml:space="preserve">needed here because Shiny only opens a browser tab on its own in an</w:t>
      </w:r>
      <w:r>
        <w:t xml:space="preserve"> </w:t>
      </w:r>
      <w:r>
        <w:t xml:space="preserve">interactive session, and</w:t>
      </w:r>
      <w:r>
        <w:t xml:space="preserve"> </w:t>
      </w:r>
      <w:r>
        <w:rPr>
          <w:rStyle w:val="VerbatimChar"/>
        </w:rPr>
        <w:t xml:space="preserve">Rscript</w:t>
      </w:r>
      <w:r>
        <w:t xml:space="preserve"> </w:t>
      </w:r>
      <w:r>
        <w:t xml:space="preserve">is not interactive.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 </w:t>
      </w:r>
      <w:r>
        <w:t xml:space="preserve">(requires the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package, and the</w:t>
      </w:r>
      <w:r>
        <w:t xml:space="preserve"> </w:t>
      </w:r>
      <w:r>
        <w:rPr>
          <w:rStyle w:val="VerbatimChar"/>
        </w:rPr>
        <w:t xml:space="preserve">engine/tests/</w:t>
      </w:r>
      <w:r>
        <w:t xml:space="preserve"> </w:t>
      </w:r>
      <w:r>
        <w:t xml:space="preserve">folder, which is only in the source</w:t>
      </w:r>
      <w:r>
        <w:t xml:space="preserve"> </w:t>
      </w:r>
      <w:r>
        <w:t xml:space="preserve">repository).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Cs/>
          <w:b/>
        </w:rPr>
        <w:t xml:space="preserve">Sheet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77"/>
        <w:gridCol w:w="2299"/>
        <w:gridCol w:w="2554"/>
        <w:gridCol w:w="1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loss size above which the data is complete; indexed to the valuation year it bounds the modelling threshold from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last_complete_year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year with complete loss data; it ends the frequency and burning cost window (defaults to the latest loss 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When neither the dashboard nor the workbook</w:t>
      </w:r>
      <w:r>
        <w:t xml:space="preserve"> </w:t>
      </w:r>
      <w:r>
        <w:t xml:space="preserve">sets the modelling threshold, it defaults to the reporting threshold (the loss</w:t>
      </w:r>
      <w:r>
        <w:t xml:space="preserve"> </w:t>
      </w:r>
      <w:r>
        <w:t xml:space="preserve">size above which the data is complete), so the model starts exactly where the</w:t>
      </w:r>
      <w:r>
        <w:t xml:space="preserve"> </w:t>
      </w:r>
      <w:r>
        <w:t xml:space="preserve">data becomes reliable. The threshold is strict: only losses above it are</w:t>
      </w:r>
      <w:r>
        <w:t xml:space="preserve"> </w:t>
      </w:r>
      <w:r>
        <w:t xml:space="preserve">modelled.</w:t>
      </w:r>
    </w:p>
    <w:p>
      <w:pPr>
        <w:pStyle w:val="BodyText"/>
      </w:pPr>
      <w:r>
        <w:t xml:space="preserve">On load,</w:t>
      </w:r>
      <w:r>
        <w:t xml:space="preserve"> </w:t>
      </w:r>
      <w:r>
        <w:rPr>
          <w:rStyle w:val="VerbatimChar"/>
        </w:rPr>
        <w:t xml:space="preserve">read_input</w:t>
      </w:r>
      <w:r>
        <w:t xml:space="preserve"> </w:t>
      </w:r>
      <w:r>
        <w:t xml:space="preserve">checks the workbook and refuses data the pipeline cannot</w:t>
      </w:r>
      <w:r>
        <w:t xml:space="preserve"> </w:t>
      </w:r>
      <w:r>
        <w:t xml:space="preserve">price safely, with a plain message naming the sheet to fix: missing or</w:t>
      </w:r>
      <w:r>
        <w:t xml:space="preserve"> </w:t>
      </w:r>
      <w:r>
        <w:t xml:space="preserve">non-positive losses, missing years, duplicate exposure or inflation years,</w:t>
      </w:r>
      <w:r>
        <w:t xml:space="preserve"> </w:t>
      </w:r>
      <w:r>
        <w:t xml:space="preserve">non-positive exposures, loss years with no exposure row, and inflation that</w:t>
      </w:r>
      <w:r>
        <w:t xml:space="preserve"> </w:t>
      </w:r>
      <w:r>
        <w:t xml:space="preserve">does not cover the span from the oldest indexed year to the valuation year.</w:t>
      </w:r>
      <w:r>
        <w:t xml:space="preserve"> </w:t>
      </w:r>
      <w:r>
        <w:t xml:space="preserve">The oldest indexed year is the oldest loss or the oldest observed exposure</w:t>
      </w:r>
      <w:r>
        <w:t xml:space="preserve"> </w:t>
      </w:r>
      <w:r>
        <w:t xml:space="preserve">year, whichever is earlier, since the reporting threshold is indexed from</w:t>
      </w:r>
      <w:r>
        <w:t xml:space="preserve"> </w:t>
      </w:r>
      <w:r>
        <w:t xml:space="preserve">every year in the observation window, which can start before the first loss.</w:t>
      </w:r>
      <w:r>
        <w:t xml:space="preserve"> </w:t>
      </w:r>
      <w:r>
        <w:t xml:space="preserve">Losses at or below the reporting threshold are accepted but flagged with a</w:t>
      </w:r>
      <w:r>
        <w:t xml:space="preserve"> </w:t>
      </w:r>
      <w:r>
        <w:t xml:space="preserve">warning on the Data step, since they contradict the declared completeness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In the dashboard, a workbook that fails these checks is reported in red under</w:t>
      </w:r>
      <w:r>
        <w:t xml:space="preserve"> </w:t>
      </w:r>
      <w:r>
        <w:t xml:space="preserve">the upload box, one bullet per problem, and the tool keeps running so the user</w:t>
      </w:r>
      <w:r>
        <w:t xml:space="preserve"> </w:t>
      </w:r>
      <w:r>
        <w:t xml:space="preserve">can fix the file and upload it again. A failed upload also clears any data</w:t>
      </w:r>
      <w:r>
        <w:t xml:space="preserve"> </w:t>
      </w:r>
      <w:r>
        <w:t xml:space="preserve">loaded earlier, so no step can go on pricing an old workbook in its place.</w:t>
      </w:r>
    </w:p>
    <w:p>
      <w:pPr>
        <w:pStyle w:val="BodyText"/>
      </w:pPr>
      <w:r>
        <w:rPr>
          <w:bCs/>
          <w:b/>
        </w:rPr>
        <w:t xml:space="preserve">Sheet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Cs/>
          <w:b/>
        </w:rPr>
        <w:t xml:space="preserve">Sheet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17"/>
        <w:gridCol w:w="2262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Sheet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17"/>
        <w:gridCol w:w="2262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four-sheet workbook (the same builder serves</w:t>
      </w:r>
      <w:r>
        <w:t xml:space="preserve"> </w:t>
      </w:r>
      <w:r>
        <w:t xml:space="preserve">both paths, so the two exports never drift apart):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and both premiums.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validation</w:t>
      </w:r>
      <w:r>
        <w:t xml:space="preserve">: the simulated against closed-form expected loss, their</w:t>
      </w:r>
      <w:r>
        <w:t xml:space="preserve"> </w:t>
      </w:r>
      <w:r>
        <w:t xml:space="preserve">delta, and the burning cost benchmark.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contract</w:t>
      </w:r>
      <w:r>
        <w:t xml:space="preserve">: an echo of the priced layer structure with its full terms</w:t>
      </w:r>
      <w:r>
        <w:t xml:space="preserve"> </w:t>
      </w:r>
      <w:r>
        <w:t xml:space="preserve">(deductible, cover, AAD, AAL).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assumptions</w:t>
      </w:r>
      <w:r>
        <w:t xml:space="preserve">: an echo of the settings and the fitted parameters</w:t>
      </w:r>
      <w:r>
        <w:t xml:space="preserve"> </w:t>
      </w:r>
      <w:r>
        <w:t xml:space="preserve">(expected claims, Pareto alpha, lognormal body, tail weight, seed), so a</w:t>
      </w:r>
      <w:r>
        <w:t xml:space="preserve"> </w:t>
      </w:r>
      <w:r>
        <w:t xml:space="preserve">result can be reconstructed from the file alone.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52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inflation indexation, exposure scaling, burning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and scale Poisson or Negative Binomial; fit the Binomial on a count of risks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display formatters, so the dashboard tables and the Excel report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 (used by the launcher and the Generate template button)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in books of different sizes. Loss inflation is</w:t>
      </w:r>
      <w:r>
        <w:t xml:space="preserve"> </w:t>
      </w:r>
      <w:r>
        <w:t xml:space="preserve">handled by revaluing each loss size; exposure is handled separately, on the</w:t>
      </w:r>
      <w:r>
        <w:t xml:space="preserve"> </w:t>
      </w:r>
      <w:r>
        <w:t xml:space="preserve">frequency side, because it is a volume measure.</w:t>
      </w:r>
    </w:p>
    <w:p>
      <w:pPr>
        <w:pStyle w:val="BodyText"/>
      </w:pPr>
      <w:r>
        <w:rPr>
          <w:bCs/>
          <w:b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 The inflation-trended loss that both the severity fit and the</w:t>
      </w:r>
      <w:r>
        <w:t xml:space="preserve"> </w:t>
      </w:r>
      <w:r>
        <w:t xml:space="preserve">frequency count read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The reporting threshold must be indexed too.</w:t>
      </w:r>
      <w:r>
        <w:t xml:space="preserve"> </w:t>
      </w:r>
      <w:r>
        <w:t xml:space="preserve">The data is complete above the</w:t>
      </w:r>
      <w:r>
        <w:t xml:space="preserve"> </w:t>
      </w:r>
      <w:r>
        <w:t xml:space="preserve">reporting threshold in each loss year’s</w:t>
      </w:r>
      <w:r>
        <w:t xml:space="preserve"> </w:t>
      </w:r>
      <w:r>
        <w:rPr>
          <w:iCs/>
          <w:i/>
        </w:rPr>
        <w:t xml:space="preserve">own</w:t>
      </w:r>
      <w:r>
        <w:t xml:space="preserve"> </w:t>
      </w:r>
      <w:r>
        <w:t xml:space="preserve">money. Once losses are indexed,</w:t>
      </w:r>
      <w:r>
        <w:t xml:space="preserve"> </w:t>
      </w:r>
      <w:r>
        <w:t xml:space="preserve">that guarantee only holds above the threshold indexed the same way, so the</w:t>
      </w:r>
      <w:r>
        <w:t xml:space="preserve"> </w:t>
      </w:r>
      <w:r>
        <w:t xml:space="preserve">floor for the modelling threshold is the reporting threshold times the largest</w:t>
      </w:r>
      <w:r>
        <w:t xml:space="preserve"> </w:t>
      </w:r>
      <w:r>
        <w:t xml:space="preserve">inflation factor across the observed years (with positive inflation, the</w:t>
      </w:r>
      <w:r>
        <w:t xml:space="preserve"> </w:t>
      </w:r>
      <w:r>
        <w:t xml:space="preserve">earliest year):</w:t>
      </w:r>
      <w:r>
        <w:t xml:space="preserve"> </w:t>
      </w:r>
      <m:oMath>
        <m:r>
          <m:t>R</m:t>
        </m:r>
        <m:r>
          <m:t>T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max</m:t>
            </m:r>
          </m:e>
          <m:sub>
            <m:r>
              <m:t>y</m:t>
            </m:r>
          </m:sub>
        </m:sSub>
        <m:sSubSup>
          <m:e>
            <m:r>
              <m:t>f</m:t>
            </m:r>
          </m:e>
          <m:sub>
            <m:r>
              <m:t>y</m:t>
            </m:r>
          </m:sub>
          <m:sup>
            <m:r>
              <m:t>i</m:t>
            </m:r>
            <m:r>
              <m:t>n</m:t>
            </m:r>
            <m:r>
              <m:t>f</m:t>
            </m:r>
            <m:r>
              <m:t>l</m:t>
            </m:r>
          </m:sup>
        </m:sSubSup>
      </m:oMath>
      <w:r>
        <w:t xml:space="preserve">. Modelling below this floor</w:t>
      </w:r>
      <w:r>
        <w:t xml:space="preserve"> </w:t>
      </w:r>
      <w:r>
        <w:t xml:space="preserve">understates the frequency, because losses that would index above MT were never</w:t>
      </w:r>
      <w:r>
        <w:t xml:space="preserve"> </w:t>
      </w:r>
      <w:r>
        <w:t xml:space="preserve">recorded in the early years. This is</w:t>
      </w:r>
      <w:r>
        <w:t xml:space="preserve"> </w:t>
      </w:r>
      <w:r>
        <w:rPr>
          <w:rStyle w:val="VerbatimChar"/>
        </w:rPr>
        <w:t xml:space="preserve">indexed_reporting_threshold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; the dashboard clamps the modelling threshold to it, and the</w:t>
      </w:r>
      <w:r>
        <w:t xml:space="preserve"> </w:t>
      </w:r>
      <w:r>
        <w:t xml:space="preserve">headless path warns when a supplied threshold sits below it.</w:t>
      </w:r>
    </w:p>
    <w:p>
      <w:pPr>
        <w:pStyle w:val="BodyText"/>
      </w:pPr>
      <w:r>
        <w:rPr>
          <w:bCs/>
          <w:b/>
        </w:rPr>
        <w:t xml:space="preserve">Exposure drives frequency, not severity.</w:t>
      </w:r>
      <w:r>
        <w:t xml:space="preserve"> </w:t>
      </w:r>
      <w:r>
        <w:t xml:space="preserve">Exposure is a volume measure (for</w:t>
      </w:r>
      <w:r>
        <w:t xml:space="preserve"> </w:t>
      </w:r>
      <w:r>
        <w:t xml:space="preserve">example the number of risks or buildings insured): it governs how many claims</w:t>
      </w:r>
      <w:r>
        <w:t xml:space="preserve"> </w:t>
      </w:r>
      <w:r>
        <w:t xml:space="preserve">happen, not how big each one is, so it is deliberately not applied to the loss</w:t>
      </w:r>
      <w:r>
        <w:t xml:space="preserve"> </w:t>
      </w:r>
      <w:r>
        <w:t xml:space="preserve">size. A larger prospective book is expected to produce proportionally more</w:t>
      </w:r>
      <w:r>
        <w:t xml:space="preserve"> </w:t>
      </w:r>
      <w:r>
        <w:t xml:space="preserve">claims, so the fitted frequency is scaled by the forward book size relative to</w:t>
      </w:r>
      <w:r>
        <w:t xml:space="preserve"> </w:t>
      </w:r>
      <w:r>
        <w:t xml:space="preserve">the average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Treating exposure this way matches standard experience rating, where loss</w:t>
      </w:r>
      <w:r>
        <w:t xml:space="preserve"> </w:t>
      </w:r>
      <w:r>
        <w:t xml:space="preserve">amounts are trended for inflation and exposure adjusts the claim count (or, as a</w:t>
      </w:r>
      <w:r>
        <w:t xml:space="preserve"> </w:t>
      </w:r>
      <w:r>
        <w:t xml:space="preserve">rate, the denominator), not the size of each loss.</w:t>
      </w:r>
    </w:p>
    <w:p>
      <w:pPr>
        <w:pStyle w:val="BodyText"/>
      </w:pPr>
      <w:r>
        <w:rPr>
          <w:bCs/>
          <w:b/>
        </w:rPr>
        <w:t xml:space="preserve">Burning cost on-levelling.</w:t>
      </w:r>
      <w:r>
        <w:t xml:space="preserve"> </w:t>
      </w:r>
      <w:r>
        <w:t xml:space="preserve">The empirical burning cost benchmark (below) is</w:t>
      </w:r>
      <w:r>
        <w:t xml:space="preserve"> </w:t>
      </w:r>
      <w:r>
        <w:t xml:space="preserve">put on the same forward book by scaling each observed year’s aggregate of layer</w:t>
      </w:r>
      <w:r>
        <w:t xml:space="preserve"> </w:t>
      </w:r>
      <w:r>
        <w:t xml:space="preserve">recoveries by the exposure ratio</w:t>
      </w:r>
      <w:r>
        <w:t xml:space="preserve"> </w:t>
      </w:r>
      <m:oMath>
        <m:sSub>
          <m:e>
            <m:r>
              <m:t>E</m:t>
            </m:r>
          </m:e>
          <m:sub>
            <m:r>
              <m:t>V</m:t>
            </m:r>
          </m:sub>
        </m:sSub>
        <m:r>
          <m:rPr>
            <m:sty m:val="p"/>
          </m:rPr>
          <m:t>/</m:t>
        </m:r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exposure_factor</w:t>
      </w:r>
      <w:r>
        <w:t xml:space="preserve">). This is again a</w:t>
      </w:r>
      <w:r>
        <w:t xml:space="preserve"> </w:t>
      </w:r>
      <w:r>
        <w:t xml:space="preserve">volume adjustment, not a change to individual loss sizes. The scaling is applied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annual aggregate deductible and limit, so those caps still bind on</w:t>
      </w:r>
      <w:r>
        <w:t xml:space="preserve"> </w:t>
      </w:r>
      <w:r>
        <w:t xml:space="preserve">the on-levelled figure (scaling after the cap could push the result above an</w:t>
      </w:r>
      <w:r>
        <w:t xml:space="preserve"> </w:t>
      </w:r>
      <w:r>
        <w:t xml:space="preserve">AAL). The average is taken over the observed years, the same window the frequency</w:t>
      </w:r>
      <w:r>
        <w:t xml:space="preserve"> </w:t>
      </w:r>
      <w:r>
        <w:t xml:space="preserve">uses, so a year with no losses counts as a zero rather than being dropped from</w:t>
      </w:r>
      <w:r>
        <w:t xml:space="preserve"> </w:t>
      </w:r>
      <w:r>
        <w:t xml:space="preserve">the denominator. (The dashboard’s information panels explain these exposure roles</w:t>
      </w:r>
      <w:r>
        <w:t xml:space="preserve"> </w:t>
      </w:r>
      <w:r>
        <w:t xml:space="preserve">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Cs/>
          <w:b/>
        </w:rPr>
        <w:t xml:space="preserve">above the</w:t>
      </w:r>
      <w:r>
        <w:rPr>
          <w:bCs/>
          <w:b/>
        </w:rPr>
        <w:t xml:space="preserve"> </w:t>
      </w:r>
      <w:r>
        <w:rPr>
          <w:bCs/>
          <w:b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observation window runs over the exposure years up to the</w:t>
      </w:r>
      <w:r>
        <w:t xml:space="preserve"> </w:t>
      </w:r>
      <w:r>
        <w:t xml:space="preserve">declared last complete experience year (</w:t>
      </w:r>
      <w:r>
        <w:rPr>
          <w:rStyle w:val="VerbatimChar"/>
        </w:rPr>
        <w:t xml:space="preserve">observation_years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). When no such year is declared, the window ends at the latest</w:t>
      </w:r>
      <w:r>
        <w:t xml:space="preserve"> </w:t>
      </w:r>
      <w:r>
        <w:t xml:space="preserve">loss year; declaring it matters because the latest loss year is itself random:</w:t>
      </w:r>
      <w:r>
        <w:t xml:space="preserve"> </w:t>
      </w:r>
      <w:r>
        <w:t xml:space="preserve">a genuine zero-loss final year would otherwise be dropped (overstating the</w:t>
      </w:r>
      <w:r>
        <w:t xml:space="preserve"> </w:t>
      </w:r>
      <w:r>
        <w:t xml:space="preserve">frequency) and a partially observed final year would be counted in full</w:t>
      </w:r>
      <w:r>
        <w:t xml:space="preserve"> </w:t>
      </w:r>
      <w:r>
        <w:t xml:space="preserve">(understating it). The user can choose one of three distributions; Poisson is</w:t>
      </w:r>
      <w:r>
        <w:t xml:space="preserve"> </w:t>
      </w:r>
      <w:r>
        <w:t xml:space="preserve">the principled default because reinsurance data is usually too sparse to</w:t>
      </w:r>
      <w:r>
        <w:t xml:space="preserve"> </w:t>
      </w:r>
      <w:r>
        <w:t xml:space="preserve">select a 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 It needs at least two</w:t>
      </w:r>
      <w:r>
        <w:t xml:space="preserve"> </w:t>
      </w:r>
      <w:r>
        <w:t xml:space="preserve">observed years.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Binomial</w:t>
      </w:r>
      <w:r>
        <w:t xml:space="preserve">, for a book of countable independent risks only. The number of</w:t>
      </w:r>
      <w:r>
        <w:t xml:space="preserve"> </w:t>
      </w:r>
      <w:r>
        <w:t xml:space="preserve">trials is never estimated from the counts: with both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unknown the</w:t>
      </w:r>
      <w:r>
        <w:t xml:space="preserve"> </w:t>
      </w:r>
      <w:r>
        <w:t xml:space="preserve">estimate is unstable (as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it runs off to infinity), and it</w:t>
      </w:r>
      <w:r>
        <w:t xml:space="preserve"> </w:t>
      </w:r>
      <w:r>
        <w:t xml:space="preserve">moves the support of the distribution with the noise in a few years of data.</w:t>
      </w:r>
      <w:r>
        <w:t xml:space="preserve"> </w:t>
      </w:r>
      <w:r>
        <w:t xml:space="preserve">Instead the exposure is read as the number of insured risks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in each</w:t>
      </w:r>
      <w:r>
        <w:t xml:space="preserve"> </w:t>
      </w:r>
      <w:r>
        <w:t xml:space="preserve">observed year</w:t>
      </w:r>
      <w:r>
        <w:t xml:space="preserve"> </w:t>
      </w:r>
      <m:oMath>
        <m:r>
          <m:t>t</m:t>
        </m:r>
      </m:oMath>
      <w:r>
        <w:t xml:space="preserve">, and each risk produces at most one loss above MT per year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p</m:t>
        </m:r>
      </m:oMath>
      <w:r>
        <w:t xml:space="preserve">, so the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N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. The maximum</w:t>
      </w:r>
      <w:r>
        <w:t xml:space="preserve"> </w:t>
      </w:r>
      <w:r>
        <w:t xml:space="preserve">likelihood estimate is the pooled rate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k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t</m:t>
                </m:r>
              </m:sub>
            </m:sSub>
          </m:e>
        </m:nary>
      </m:oMath>
      <w:r>
        <w:t xml:space="preserve"> </w:t>
      </w:r>
      <w:r>
        <w:t xml:space="preserve">(claims over risk-years), and the</w:t>
      </w:r>
      <w:r>
        <w:t xml:space="preserve"> </w:t>
      </w:r>
      <w:r>
        <w:t xml:space="preserve">forward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N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p</m:t>
                </m:r>
              </m:e>
            </m:acc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the valuation-year</w:t>
      </w:r>
      <w:r>
        <w:t xml:space="preserve"> </w:t>
      </w:r>
      <w:r>
        <w:t xml:space="preserve">exposure (</w:t>
      </w:r>
      <w:r>
        <w:rPr>
          <w:rStyle w:val="VerbatimChar"/>
        </w:rPr>
        <w:t xml:space="preserve">fit_binomial_risks</w:t>
      </w:r>
      <w:r>
        <w:t xml:space="preserve">). The fit stops with a plain message when the</w:t>
      </w:r>
      <w:r>
        <w:t xml:space="preserve"> </w:t>
      </w:r>
      <w:r>
        <w:t xml:space="preserve">exposure cannot be a count of risks: a value that is not a whole number, a</w:t>
      </w:r>
      <w:r>
        <w:t xml:space="preserve"> </w:t>
      </w:r>
      <w:r>
        <w:t xml:space="preserve">year with more claims than risks, or no valuation-year row.</w:t>
      </w:r>
    </w:p>
    <w:p>
      <w:pPr>
        <w:pStyle w:val="FirstParagraph"/>
      </w:pPr>
      <w:r>
        <w:t xml:space="preserve">Because the tool cannot tell a count of risks from a monetary exposure by</w:t>
      </w:r>
      <w:r>
        <w:t xml:space="preserve"> </w:t>
      </w:r>
      <w:r>
        <w:t xml:space="preserve">looking at the numbers (150 buildings and 150 million of premium look the</w:t>
      </w:r>
      <w:r>
        <w:t xml:space="preserve"> </w:t>
      </w:r>
      <w:r>
        <w:t xml:space="preserve">same), the dashboard shows a prominent notice when the Binomial is selected,</w:t>
      </w:r>
      <w:r>
        <w:t xml:space="preserve"> </w:t>
      </w:r>
      <w:r>
        <w:t xml:space="preserve">with the live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, and the model is only used once the user ticks</w:t>
      </w:r>
      <w:r>
        <w:t xml:space="preserve"> </w:t>
      </w:r>
      <w:r>
        <w:t xml:space="preserve">“</w:t>
      </w:r>
      <w:r>
        <w:t xml:space="preserve">My exposure is the number of insured risks</w:t>
      </w:r>
      <w:r>
        <w:t xml:space="preserve">”</w:t>
      </w:r>
      <w:r>
        <w:t xml:space="preserve">. The confirmation resets when a</w:t>
      </w:r>
      <w:r>
        <w:t xml:space="preserve"> </w:t>
      </w:r>
      <w:r>
        <w:t xml:space="preserve">new workbook is uploaded, and the assumptions sheet of the export records it</w:t>
      </w:r>
      <w:r>
        <w:t xml:space="preserve"> </w:t>
      </w:r>
      <w:r>
        <w:t xml:space="preserve">together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. A monetary exposure in large units would give</w:t>
      </w:r>
      <w:r>
        <w:t xml:space="preserve"> </w:t>
      </w:r>
      <w:r>
        <w:t xml:space="preserve">a huge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tiny</w:t>
      </w:r>
      <w:r>
        <w:t xml:space="preserve"> </w:t>
      </w:r>
      <m:oMath>
        <m:r>
          <m:t>p</m:t>
        </m:r>
      </m:oMath>
      <w:r>
        <w:t xml:space="preserve">, which behaves almost exactly like a Poisson; the</w:t>
      </w:r>
      <w:r>
        <w:t xml:space="preserve"> </w:t>
      </w:r>
      <w:r>
        <w:t xml:space="preserve">harmful case is a monetary exposure that happens to be a small number, which</w:t>
      </w:r>
      <w:r>
        <w:t xml:space="preserve"> </w:t>
      </w:r>
      <w:r>
        <w:t xml:space="preserve">would cap the yearly count at that number.</w:t>
      </w:r>
    </w:p>
    <w:p>
      <w:pPr>
        <w:pStyle w:val="BodyText"/>
      </w:pPr>
      <w:r>
        <w:t xml:space="preserve">The Poisson and Negative Binomial means are then scaled to the prospective book</w:t>
      </w:r>
      <w:r>
        <w:t xml:space="preserve"> </w:t>
      </w:r>
      <w:r>
        <w:t xml:space="preserve">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). The Binomial needs</w:t>
      </w:r>
      <w:r>
        <w:t xml:space="preserve"> </w:t>
      </w:r>
      <w:r>
        <w:t xml:space="preserve">no scaling, since its number of trials is already the forward number of risks;</w:t>
      </w:r>
      <w:r>
        <w:t xml:space="preserve"> </w:t>
      </w:r>
      <w:r>
        <w:t xml:space="preserve">the pooled estimate gives the same expected count as scaling the Poisson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p</m:t>
            </m:r>
          </m:e>
        </m:acc>
        <m:r>
          <m:t> 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), with the extra structure that no year can exceed</w:t>
      </w:r>
      <w:r>
        <w:t xml:space="preserve"> </w:t>
      </w:r>
      <m:oMath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claims.</w:t>
      </w:r>
      <w:r>
        <w:t xml:space="preserve"> </w:t>
      </w:r>
      <w:r>
        <w:t xml:space="preserve">The Model step’s frequency plot compares the empirical counts with the fit on</w:t>
      </w:r>
      <w:r>
        <w:t xml:space="preserve"> </w:t>
      </w:r>
      <w:r>
        <w:t xml:space="preserve">the observed basis: for the Binomial that is the average of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N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p</m:t>
                </m:r>
              </m:e>
            </m:acc>
          </m:e>
        </m:d>
      </m:oMath>
      <w:r>
        <w:t xml:space="preserve"> </w:t>
      </w:r>
      <w:r>
        <w:t xml:space="preserve">over the observed years</w:t>
      </w:r>
      <w:r>
        <w:t xml:space="preserve"> </w:t>
      </w:r>
      <w:r>
        <w:t xml:space="preserve">(</w:t>
      </w:r>
      <w:r>
        <w:rPr>
          <w:rStyle w:val="VerbatimChar"/>
        </w:rPr>
        <w:t xml:space="preserve">observed_frequency_pmf</w:t>
      </w:r>
      <w:r>
        <w:t xml:space="preserve">).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Cs/>
          <w:b/>
        </w:rPr>
        <w:t xml:space="preserve">conditional on a loss exceeding the modelling</w:t>
      </w:r>
      <w:r>
        <w:rPr>
          <w:bCs/>
          <w:b/>
        </w:rPr>
        <w:t xml:space="preserve"> </w:t>
      </w:r>
      <w:r>
        <w:rPr>
          <w:bCs/>
          <w:b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Body, for</w:t>
      </w:r>
      <w:r>
        <w:rPr>
          <w:bCs/>
          <w:b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Cs/>
          <w:b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</w:t>
      </w:r>
      <w:r>
        <w:t xml:space="preserve"> </w:t>
      </w:r>
      <w:r>
        <w:rPr>
          <w:bCs/>
          <w:b/>
        </w:rPr>
        <w:t xml:space="preserve">truncated</w:t>
      </w:r>
      <w:r>
        <w:t xml:space="preserve"> </w:t>
      </w:r>
      <w:r>
        <w:t xml:space="preserve">maximum likelihood on the indexed losses in that 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fit_lnorm_truncated</w:t>
      </w:r>
      <w:r>
        <w:t xml:space="preserve">): the likelihood is that of the lognormal conditioned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, matching exactly how the body is used. An unconditional fit on</w:t>
      </w:r>
      <w:r>
        <w:t xml:space="preserve"> </w:t>
      </w:r>
      <w:r>
        <w:t xml:space="preserve">the windowed data would bias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, explaining the missing tails</w:t>
      </w:r>
      <w:r>
        <w:t xml:space="preserve"> </w:t>
      </w:r>
      <w:r>
        <w:t xml:space="preserve">as low variance.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Tail, for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Cs/>
          <w:b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losses above</w:t>
      </w:r>
      <w:r>
        <w:t xml:space="preserve"> </w:t>
      </w:r>
      <m:oMath>
        <m:r>
          <m:t>s</m:t>
        </m:r>
      </m:oMath>
      <w:r>
        <w:t xml:space="preserve">, matching the estimator in the Reinsurance</w:t>
      </w:r>
      <w:r>
        <w:t xml:space="preserve"> </w:t>
      </w:r>
      <w:r>
        <w:t xml:space="preserve">Analytics notes. (The MLE is known to be biased upward in small samples; a</w:t>
      </w:r>
      <w:r>
        <w:t xml:space="preserve"> </w:t>
      </w:r>
      <w:r>
        <w:t xml:space="preserve">correction was considered and deliberately left out to keep the method simple</w:t>
      </w:r>
      <w:r>
        <w:t xml:space="preserve"> </w:t>
      </w:r>
      <w:r>
        <w:t xml:space="preserve">and aligned with the notes.)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Cs/>
          <w:b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Cs/>
          <w:b/>
        </w:rPr>
        <w:t xml:space="preserve">in this order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endChr m:val="]"/>
            <m:sepChr m:val="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(expected shortfall), the mean of</w:t>
      </w:r>
      <w:r>
        <w:t xml:space="preserve"> </w:t>
      </w:r>
      <w:r>
        <w:t xml:space="preserve">the worst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e>
        </m:d>
      </m:oMath>
      <w:r>
        <w:t xml:space="preserve"> </w:t>
      </w:r>
      <w:r>
        <w:t xml:space="preserve">share of the simulated years: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simulated years, the</w:t>
      </w:r>
      <w:r>
        <w:t xml:space="preserve"> </w:t>
      </w:r>
      <w:r>
        <w:t xml:space="preserve">average of the largest</w:t>
      </w:r>
      <w:r>
        <w:t xml:space="preserve"> </w:t>
      </w:r>
      <m:oMath>
        <m:r>
          <m:rPr>
            <m:sty m:val="p"/>
          </m:rPr>
          <m:t>⌈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e>
        </m:d>
        <m:r>
          <m:t> </m:t>
        </m:r>
        <m:r>
          <m:t>n</m:t>
        </m:r>
        <m:r>
          <m:rPr>
            <m:sty m:val="p"/>
          </m:rPr>
          <m:t>⌉</m:t>
        </m:r>
      </m:oMath>
      <w:r>
        <w:t xml:space="preserve"> </w:t>
      </w:r>
      <w:r>
        <w:t xml:space="preserve">annual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expected_shortfall</w:t>
      </w:r>
      <w:r>
        <w:t xml:space="preserve">). This is deliberately not the mean of the losses at or</w:t>
      </w:r>
      <w:r>
        <w:t xml:space="preserve"> </w:t>
      </w:r>
      <w:r>
        <w:t xml:space="preserve">above the VaR. A layer’s annual loss has point masses, many years at exactly</w:t>
      </w:r>
      <w:r>
        <w:t xml:space="preserve"> </w:t>
      </w:r>
      <w:r>
        <w:t xml:space="preserve">0 (the layer is not hit) or at exactly the full limit (a loss exhausts it).</w:t>
      </w:r>
      <w:r>
        <w:t xml:space="preserve"> </w:t>
      </w:r>
      <w:r>
        <w:t xml:space="preserve">When the VaR lands on one of these,</w:t>
      </w:r>
      <w:r>
        <w:t xml:space="preserve"> </w:t>
      </w:r>
      <w:r>
        <w:t xml:space="preserve">“</w:t>
      </w:r>
      <w:r>
        <w:t xml:space="preserve">at or above the VaR</w:t>
      </w:r>
      <w:r>
        <w:t xml:space="preserve">”</w:t>
      </w:r>
      <w:r>
        <w:t xml:space="preserve"> </w:t>
      </w:r>
      <w:r>
        <w:t xml:space="preserve">takes in the whole</w:t>
      </w:r>
      <w:r>
        <w:t xml:space="preserve"> </w:t>
      </w:r>
      <w:r>
        <w:t xml:space="preserve">point mass, so it averages far more than the worst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e>
        </m:d>
      </m:oMath>
      <w:r>
        <w:t xml:space="preserve"> </w:t>
      </w:r>
      <w:r>
        <w:t xml:space="preserve">of years and</w:t>
      </w:r>
      <w:r>
        <w:t xml:space="preserve"> </w:t>
      </w:r>
      <w:r>
        <w:t xml:space="preserve">understates the tail; for a layer hit in fewer than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e>
        </m:d>
      </m:oMath>
      <w:r>
        <w:t xml:space="preserve"> </w:t>
      </w:r>
      <w:r>
        <w:t xml:space="preserve">of years the VaR</w:t>
      </w:r>
      <w:r>
        <w:t xml:space="preserve"> </w:t>
      </w:r>
      <w:r>
        <w:t xml:space="preserve">is 0 and that mean collapses to the expected loss. For a continuous loss</w:t>
      </w:r>
      <w:r>
        <w:t xml:space="preserve"> </w:t>
      </w:r>
      <w:r>
        <w:t xml:space="preserve">distribution the two definitions coincide; the expected shortfall is the</w:t>
      </w:r>
      <w:r>
        <w:t xml:space="preserve"> </w:t>
      </w:r>
      <w:r>
        <w:t xml:space="preserve">coherent one and stays correct with point masses.</w:t>
      </w:r>
    </w:p>
    <w:p>
      <w:pPr>
        <w:pStyle w:val="FirstParagraph"/>
      </w:pPr>
      <w:r>
        <w:t xml:space="preserve">The Price step also plots this empirical distribution per layer: a histogram of</w:t>
      </w:r>
      <w:r>
        <w:t xml:space="preserve"> </w:t>
      </w:r>
      <w:r>
        <w:t xml:space="preserve">the simulated annual losses to the selected layer, with the mean, VaR and TVaR</w:t>
      </w:r>
      <w:r>
        <w:t xml:space="preserve"> </w:t>
      </w:r>
      <w:r>
        <w:t xml:space="preserve">marked on it (the same values shown in the Results table), and the share of</w:t>
      </w:r>
      <w:r>
        <w:t xml:space="preserve"> </w:t>
      </w:r>
      <w:r>
        <w:t xml:space="preserve">simulated years with no loss to the layer annotated. High layers are pierced</w:t>
      </w:r>
      <w:r>
        <w:t xml:space="preserve"> </w:t>
      </w:r>
      <w:r>
        <w:t xml:space="preserve">only rarely, so most of their simulated years sit at zero. The per-layer loss</w:t>
      </w:r>
      <w:r>
        <w:t xml:space="preserve"> </w:t>
      </w:r>
      <w:r>
        <w:t xml:space="preserve">vectors come from</w:t>
      </w:r>
      <w:r>
        <w:t xml:space="preserve"> </w:t>
      </w:r>
      <w:r>
        <w:rPr>
          <w:rStyle w:val="VerbatimChar"/>
        </w:rPr>
        <w:t xml:space="preserve">layer_annual_losses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price.R</w:t>
      </w:r>
      <w:r>
        <w:t xml:space="preserve">, the same function</w:t>
      </w:r>
      <w:r>
        <w:t xml:space="preserve"> </w:t>
      </w:r>
      <w:r>
        <w:rPr>
          <w:rStyle w:val="VerbatimChar"/>
        </w:rPr>
        <w:t xml:space="preserve">price_layer</w:t>
      </w:r>
      <w:r>
        <w:t xml:space="preserve"> </w:t>
      </w:r>
      <w:r>
        <w:t xml:space="preserve">summarises, so the plot and the headline numbers always agree.</w:t>
      </w:r>
    </w:p>
    <w:p>
      <w:pPr>
        <w:pStyle w:val="BodyText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endChr m:val="]"/>
              <m:sepChr m:val="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</w:t>
      </w:r>
      <w:r>
        <w:t xml:space="preserve"> </w:t>
      </w:r>
      <w:r>
        <w:rPr>
          <w:bCs/>
          <w:b/>
        </w:rPr>
        <w:t xml:space="preserve">pure technical premiums</w:t>
      </w:r>
      <w:r>
        <w:t xml:space="preserve">: the loading is a risk margin only, with</w:t>
      </w:r>
      <w:r>
        <w:t xml:space="preserve"> </w:t>
      </w:r>
      <w:r>
        <w:t xml:space="preserve">no allowance for expenses, brokerage, or cost of capital. A market premium</w:t>
      </w:r>
      <w:r>
        <w:t xml:space="preserve"> </w:t>
      </w:r>
      <w:r>
        <w:t xml:space="preserve">would sit above these figures.</w:t>
      </w:r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</w:t>
      </w:r>
      <w:r>
        <w:t xml:space="preserve">Darth Vader</w:t>
      </w:r>
      <w:r>
        <w:t xml:space="preserve">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Cs/>
          <w:b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 Small differences</w:t>
      </w:r>
      <w:r>
        <w:t xml:space="preserve"> </w:t>
      </w:r>
      <w:r>
        <w:t xml:space="preserve">are expected: they are simulation noise, and they shrink as the number of</w:t>
      </w:r>
      <w:r>
        <w:t xml:space="preserve"> </w:t>
      </w:r>
      <w:r>
        <w:t xml:space="preserve">simulations grows. At the default 100,000 simulations that noise is negligible</w:t>
      </w:r>
      <w:r>
        <w:t xml:space="preserve"> </w:t>
      </w:r>
      <w:r>
        <w:t xml:space="preserve">next to the real uncertainty in the price, which comes from fitting a handful</w:t>
      </w:r>
      <w:r>
        <w:t xml:space="preserve"> </w:t>
      </w:r>
      <w:r>
        <w:t xml:space="preserve">of losses, so the delta is a bug check, not an uncertainty measure.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  <w:r>
        <w:t xml:space="preserve"> </w:t>
      </w:r>
      <w:r>
        <w:t xml:space="preserve">Because the oracle integrates a single loss, it has no closed form once a layer</w:t>
      </w:r>
      <w:r>
        <w:t xml:space="preserve"> </w:t>
      </w:r>
      <w:r>
        <w:t xml:space="preserve">carries an AAD or AAL, so for those layers the oracle is reported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(blank</w:t>
      </w:r>
      <w:r>
        <w:t xml:space="preserve"> </w:t>
      </w:r>
      <w:r>
        <w:t xml:space="preserve">in the dashboard, with a note that the simulation is the answer) rather than a</w:t>
      </w:r>
      <w:r>
        <w:t xml:space="preserve"> </w:t>
      </w:r>
      <w:r>
        <w:t xml:space="preserve">misleading per-loss figure.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Cs/>
          <w:b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trended for inflation, and each year’s layer loss then</w:t>
      </w:r>
      <w:r>
        <w:t xml:space="preserve"> </w:t>
      </w:r>
      <w:r>
        <w:t xml:space="preserve">on-levelled to the valuation-year book by exposure, as if it had happened now).</w:t>
      </w:r>
      <w:r>
        <w:t xml:space="preserve"> </w:t>
      </w:r>
      <w:r>
        <w:t xml:space="preserve">Each historical year is layered per loss and then run through the layer’s annual</w:t>
      </w:r>
      <w:r>
        <w:t xml:space="preserve"> </w:t>
      </w:r>
      <w:r>
        <w:t xml:space="preserve">aggregate deductible and limit, so the benchmark reflects the full layer terms</w:t>
      </w:r>
      <w:r>
        <w:t xml:space="preserve"> </w:t>
      </w:r>
      <w:r>
        <w:t xml:space="preserve">(AAD and AAL included), the same way the pricer does. Unlike the oracle, this carries no model, so it is the external</w:t>
      </w:r>
      <w:r>
        <w:t xml:space="preserve"> </w:t>
      </w:r>
      <w:r>
        <w:t xml:space="preserve">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14"/>
        </w:numPr>
        <w:pStyle w:val="Compact"/>
      </w:pPr>
      <w:r>
        <w:t xml:space="preserve">P. Arbenz,</w:t>
      </w:r>
      <w:r>
        <w:t xml:space="preserve"> </w:t>
      </w:r>
      <w:r>
        <w:rPr>
          <w:iCs/>
          <w:i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numPr>
          <w:ilvl w:val="0"/>
          <w:numId w:val="1014"/>
        </w:numPr>
        <w:pStyle w:val="Compact"/>
      </w:pPr>
      <w:r>
        <w:t xml:space="preserve">P. Parodi,</w:t>
      </w:r>
      <w:r>
        <w:t xml:space="preserve"> </w:t>
      </w:r>
      <w:r>
        <w:rPr>
          <w:iCs/>
          <w:i/>
        </w:rPr>
        <w:t xml:space="preserve">Pricing in General Insurance</w:t>
      </w:r>
      <w:r>
        <w:t xml:space="preserve">, CRC Press, 2014. General background</w:t>
      </w:r>
      <w:r>
        <w:t xml:space="preserve"> </w:t>
      </w:r>
      <w:r>
        <w:t xml:space="preserve">on experience rating. This third-party material is kept locally and is not</w:t>
      </w:r>
      <w:r>
        <w:t xml:space="preserve"> </w:t>
      </w:r>
      <w:r>
        <w:t xml:space="preserve">distributed with the tool.</w:t>
      </w:r>
    </w:p>
    <w:p>
      <w:pPr>
        <w:numPr>
          <w:ilvl w:val="0"/>
          <w:numId w:val="1014"/>
        </w:numPr>
        <w:pStyle w:val="Compact"/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2026-10-09T13:02:32Z</dcterms:created>
  <dcterms:modified xsi:type="dcterms:W3CDTF">2026-10-09T13:02:32Z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