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Paco’s Pricing Pipeline</w:t>
      </w:r>
    </w:p>
    <w:p>
      <w:pPr>
        <w:pStyle w:val="Subtitle"/>
      </w:pPr>
      <w:r>
        <w:t xml:space="preserve">Technical and Actuarial Documentation</w:t>
      </w:r>
    </w:p>
    <w:p>
      <w:pPr>
        <w:pStyle w:val="Author"/>
      </w:pPr>
      <w:r>
        <w:t xml:space="preserve">Francisco Martinez Checa</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Paco’s Pricing Pipeline is an R and Shiny tool that prices non-proportional</w:t>
      </w:r>
      <w:r>
        <w:t xml:space="preserve"> </w:t>
      </w:r>
      <w:r>
        <w:t xml:space="preserve">(excess of loss) reinsurance from a list of historical losses. You upload an</w:t>
      </w:r>
      <w:r>
        <w:t xml:space="preserve"> </w:t>
      </w:r>
      <w:r>
        <w:t xml:space="preserve">Excel workbook with the loss experience, choose how to model it, define the</w:t>
      </w:r>
      <w:r>
        <w:t xml:space="preserve"> </w:t>
      </w:r>
      <w:r>
        <w:t xml:space="preserve">reinsurance layers, and the tool runs a Monte Carlo simulation to produce an</w:t>
      </w:r>
      <w:r>
        <w:t xml:space="preserve"> </w:t>
      </w:r>
      <w:r>
        <w:t xml:space="preserve">expected loss, risk measures and a premium for each layer.</w:t>
      </w:r>
    </w:p>
    <w:p>
      <w:pPr>
        <w:pStyle w:val="BodyText"/>
      </w:pPr>
      <w:r>
        <w:t xml:space="preserve">The methodology follows the experience-pricing recipe in</w:t>
      </w:r>
      <w:r>
        <w:t xml:space="preserve"> </w:t>
      </w:r>
      <w:r>
        <w:rPr>
          <w:i/>
          <w:iCs/>
        </w:rPr>
        <w:t xml:space="preserve">Reinsurance</w:t>
      </w:r>
      <w:r>
        <w:rPr>
          <w:i/>
          <w:iCs/>
        </w:rPr>
        <w:t xml:space="preserve"> </w:t>
      </w:r>
      <w:r>
        <w:rPr>
          <w:i/>
          <w:iCs/>
        </w:rPr>
        <w:t xml:space="preserve">Analytics, FS 2026</w:t>
      </w:r>
      <w:r>
        <w:t xml:space="preserve"> </w:t>
      </w:r>
      <w:r>
        <w:t xml:space="preserve">(P. Arbenz), Section 2.8, generalised so the severity is a</w:t>
      </w:r>
      <w:r>
        <w:t xml:space="preserve"> </w:t>
      </w:r>
      <w:r>
        <w:t xml:space="preserve">spliced lognormal plus Pareto rather than a single Pareto.</w:t>
      </w:r>
    </w:p>
    <w:p>
      <w:pPr>
        <w:pStyle w:val="BodyText"/>
      </w:pPr>
      <w:r>
        <w:t xml:space="preserve">This document has two main parts:</w:t>
      </w:r>
    </w:p>
    <w:p>
      <w:pPr>
        <w:pStyle w:val="Compact"/>
        <w:numPr>
          <w:ilvl w:val="0"/>
          <w:numId w:val="1001"/>
        </w:numPr>
      </w:pPr>
      <w:r>
        <w:rPr>
          <w:b/>
          <w:bCs/>
        </w:rPr>
        <w:t xml:space="preserve">Part 1, the technical guide</w:t>
      </w:r>
      <w:r>
        <w:t xml:space="preserve">, covers the prerequisites, how to install and</w:t>
      </w:r>
      <w:r>
        <w:t xml:space="preserve"> </w:t>
      </w:r>
      <w:r>
        <w:t xml:space="preserve">run the tool, the project layout, the input and output formats, and how the</w:t>
      </w:r>
      <w:r>
        <w:t xml:space="preserve"> </w:t>
      </w:r>
      <w:r>
        <w:t xml:space="preserve">software is put together.</w:t>
      </w:r>
    </w:p>
    <w:p>
      <w:pPr>
        <w:pStyle w:val="Compact"/>
        <w:numPr>
          <w:ilvl w:val="0"/>
          <w:numId w:val="1001"/>
        </w:numPr>
      </w:pPr>
      <w:r>
        <w:rPr>
          <w:b/>
          <w:bCs/>
        </w:rPr>
        <w:t xml:space="preserve">Part 2, the actuarial methodology</w:t>
      </w:r>
      <w:r>
        <w:t xml:space="preserve">, explains the distributions that are</w:t>
      </w:r>
      <w:r>
        <w:t xml:space="preserve"> </w:t>
      </w:r>
      <w:r>
        <w:t xml:space="preserve">fitted, how the Monte Carlo simulation works, the premium principles, and the</w:t>
      </w:r>
      <w:r>
        <w:t xml:space="preserve"> </w:t>
      </w:r>
      <w:r>
        <w:t xml:space="preserve">independent validation check.</w:t>
      </w:r>
    </w:p>
    <w:p>
      <w:r>
        <w:pict>
          <v:rect style="width:0;height:1.5pt" o:hralign="center" o:hrstd="t" o:hr="t"/>
        </w:pict>
      </w:r>
    </w:p>
    <w:bookmarkEnd w:id="20"/>
    <w:bookmarkStart w:id="30" w:name="part-1-technical-guide"/>
    <w:p>
      <w:pPr>
        <w:pStyle w:val="Heading1"/>
      </w:pPr>
      <w:r>
        <w:t xml:space="preserve">Part 1: Technical guide</w:t>
      </w:r>
    </w:p>
    <w:bookmarkStart w:id="21" w:name="what-the-tool-does"/>
    <w:p>
      <w:pPr>
        <w:pStyle w:val="Heading2"/>
      </w:pPr>
      <w:r>
        <w:t xml:space="preserve">What the tool does</w:t>
      </w:r>
    </w:p>
    <w:p>
      <w:pPr>
        <w:pStyle w:val="FirstParagraph"/>
      </w:pPr>
      <w:r>
        <w:t xml:space="preserve">At a high level the tool turns a history of losses into a price through four</w:t>
      </w:r>
      <w:r>
        <w:t xml:space="preserve"> </w:t>
      </w:r>
      <w:r>
        <w:t xml:space="preserve">stages:</w:t>
      </w:r>
    </w:p>
    <w:p>
      <w:pPr>
        <w:pStyle w:val="Compact"/>
        <w:numPr>
          <w:ilvl w:val="0"/>
          <w:numId w:val="1002"/>
        </w:numPr>
      </w:pPr>
      <w:r>
        <w:rPr>
          <w:b/>
          <w:bCs/>
        </w:rPr>
        <w:t xml:space="preserve">Pre-process.</w:t>
      </w:r>
      <w:r>
        <w:t xml:space="preserve"> </w:t>
      </w:r>
      <w:r>
        <w:t xml:space="preserve">Each historical loss is revalued to the valuation year for</w:t>
      </w:r>
      <w:r>
        <w:t xml:space="preserve"> </w:t>
      </w:r>
      <w:r>
        <w:t xml:space="preserve">inflation and for the change in exposure, so old losses are stated in</w:t>
      </w:r>
      <w:r>
        <w:t xml:space="preserve"> </w:t>
      </w:r>
      <w:r>
        <w:t xml:space="preserve">today’s money and today’s book size.</w:t>
      </w:r>
    </w:p>
    <w:p>
      <w:pPr>
        <w:pStyle w:val="Compact"/>
        <w:numPr>
          <w:ilvl w:val="0"/>
          <w:numId w:val="1002"/>
        </w:numPr>
      </w:pPr>
      <w:r>
        <w:rPr>
          <w:b/>
          <w:bCs/>
        </w:rPr>
        <w:t xml:space="preserve">Fit.</w:t>
      </w:r>
      <w:r>
        <w:t xml:space="preserve"> </w:t>
      </w:r>
      <w:r>
        <w:t xml:space="preserve">A frequency distribution is fitted to the yearly count of losses,</w:t>
      </w:r>
      <w:r>
        <w:t xml:space="preserve"> </w:t>
      </w:r>
      <w:r>
        <w:t xml:space="preserve">and a severity distribution is fitted to the size of losses.</w:t>
      </w:r>
    </w:p>
    <w:p>
      <w:pPr>
        <w:pStyle w:val="Compact"/>
        <w:numPr>
          <w:ilvl w:val="0"/>
          <w:numId w:val="1002"/>
        </w:numPr>
      </w:pPr>
      <w:r>
        <w:rPr>
          <w:b/>
          <w:bCs/>
        </w:rPr>
        <w:t xml:space="preserve">Simulate.</w:t>
      </w:r>
      <w:r>
        <w:t xml:space="preserve"> </w:t>
      </w:r>
      <w:r>
        <w:t xml:space="preserve">A Monte Carlo simulation draws many possible years from the</w:t>
      </w:r>
      <w:r>
        <w:t xml:space="preserve"> </w:t>
      </w:r>
      <w:r>
        <w:t xml:space="preserve">fitted models, applies the reinsurance layers to each year, and builds the</w:t>
      </w:r>
      <w:r>
        <w:t xml:space="preserve"> </w:t>
      </w:r>
      <w:r>
        <w:t xml:space="preserve">distribution of the reinsured loss.</w:t>
      </w:r>
    </w:p>
    <w:p>
      <w:pPr>
        <w:pStyle w:val="Compact"/>
        <w:numPr>
          <w:ilvl w:val="0"/>
          <w:numId w:val="1002"/>
        </w:numPr>
      </w:pPr>
      <w:r>
        <w:rPr>
          <w:b/>
          <w:bCs/>
        </w:rPr>
        <w:t xml:space="preserve">Price.</w:t>
      </w:r>
      <w:r>
        <w:t xml:space="preserve"> </w:t>
      </w:r>
      <w:r>
        <w:t xml:space="preserve">For each layer the tool reports the expected loss, the volatility,</w:t>
      </w:r>
      <w:r>
        <w:t xml:space="preserve"> </w:t>
      </w:r>
      <w:r>
        <w:t xml:space="preserve">tail risk measures, and a premium under two loading principles. A separate</w:t>
      </w:r>
      <w:r>
        <w:t xml:space="preserve"> </w:t>
      </w:r>
      <w:r>
        <w:t xml:space="preserve">closed-form calculation cross-checks the simulation.</w:t>
      </w:r>
    </w:p>
    <w:bookmarkEnd w:id="21"/>
    <w:bookmarkStart w:id="22" w:name="the-four-step-workflow-dashboard"/>
    <w:p>
      <w:pPr>
        <w:pStyle w:val="Heading2"/>
      </w:pPr>
      <w:r>
        <w:t xml:space="preserve">The four-step workflow (dashboard)</w:t>
      </w:r>
    </w:p>
    <w:p>
      <w:pPr>
        <w:pStyle w:val="FirstParagraph"/>
      </w:pPr>
      <w:r>
        <w:t xml:space="preserve">The dashboard presents these stages as a guided, clickable four-step flow. Each</w:t>
      </w:r>
      <w:r>
        <w:t xml:space="preserve"> </w:t>
      </w:r>
      <w:r>
        <w:t xml:space="preserve">step has a collapsible</w:t>
      </w:r>
      <w:r>
        <w:t xml:space="preserve"> </w:t>
      </w:r>
      <w:r>
        <w:t xml:space="preserve">“More information”</w:t>
      </w:r>
      <w:r>
        <w:t xml:space="preserve"> </w:t>
      </w:r>
      <w:r>
        <w:t xml:space="preserve">panel that explains what it does.</w:t>
      </w:r>
    </w:p>
    <w:tbl>
      <w:tblPr>
        <w:tblStyle w:val="Table"/>
        <w:tblW w:type="pct" w:w="5000"/>
        <w:tblLayout w:type="fixed"/>
        <w:tblLook w:firstRow="1" w:lastRow="0" w:firstColumn="0" w:lastColumn="0" w:noHBand="0" w:noVBand="0" w:val="0020"/>
      </w:tblPr>
      <w:tblGrid>
        <w:gridCol w:w="1900"/>
        <w:gridCol w:w="1900"/>
        <w:gridCol w:w="4118"/>
      </w:tblGrid>
      <w:tr>
        <w:trPr>
          <w:tblHeader w:val="on"/>
        </w:trPr>
        <w:tc>
          <w:tcPr/>
          <w:p>
            <w:pPr>
              <w:pStyle w:val="Compact"/>
            </w:pPr>
            <w:r>
              <w:t xml:space="preserve">Step</w:t>
            </w:r>
          </w:p>
        </w:tc>
        <w:tc>
          <w:tcPr/>
          <w:p>
            <w:pPr>
              <w:pStyle w:val="Compact"/>
            </w:pPr>
            <w:r>
              <w:t xml:space="preserve">Name</w:t>
            </w:r>
          </w:p>
        </w:tc>
        <w:tc>
          <w:tcPr/>
          <w:p>
            <w:pPr>
              <w:pStyle w:val="Compact"/>
            </w:pPr>
            <w:r>
              <w:t xml:space="preserve">What you do</w:t>
            </w:r>
          </w:p>
        </w:tc>
      </w:tr>
      <w:tr>
        <w:tc>
          <w:tcPr/>
          <w:p>
            <w:pPr>
              <w:pStyle w:val="Compact"/>
            </w:pPr>
            <w:r>
              <w:t xml:space="preserve">1</w:t>
            </w:r>
          </w:p>
        </w:tc>
        <w:tc>
          <w:tcPr/>
          <w:p>
            <w:pPr>
              <w:pStyle w:val="Compact"/>
            </w:pPr>
            <w:r>
              <w:t xml:space="preserve">Data</w:t>
            </w:r>
          </w:p>
        </w:tc>
        <w:tc>
          <w:tcPr/>
          <w:p>
            <w:pPr>
              <w:pStyle w:val="Compact"/>
            </w:pPr>
            <w:r>
              <w:t xml:space="preserve">Upload the workbook and review the losses, exposure and inflation that loaded.</w:t>
            </w:r>
          </w:p>
        </w:tc>
      </w:tr>
      <w:tr>
        <w:tc>
          <w:tcPr/>
          <w:p>
            <w:pPr>
              <w:pStyle w:val="Compact"/>
            </w:pPr>
            <w:r>
              <w:t xml:space="preserve">2</w:t>
            </w:r>
          </w:p>
        </w:tc>
        <w:tc>
          <w:tcPr/>
          <w:p>
            <w:pPr>
              <w:pStyle w:val="Compact"/>
            </w:pPr>
            <w:r>
              <w:t xml:space="preserve">Model</w:t>
            </w:r>
          </w:p>
        </w:tc>
        <w:tc>
          <w:tcPr/>
          <w:p>
            <w:pPr>
              <w:pStyle w:val="Compact"/>
            </w:pPr>
            <w:r>
              <w:t xml:space="preserve">Choose the modelling threshold, the splice threshold and the frequency model, while live plots show the fit.</w:t>
            </w:r>
          </w:p>
        </w:tc>
      </w:tr>
      <w:tr>
        <w:tc>
          <w:tcPr/>
          <w:p>
            <w:pPr>
              <w:pStyle w:val="Compact"/>
            </w:pPr>
            <w:r>
              <w:t xml:space="preserve">3</w:t>
            </w:r>
          </w:p>
        </w:tc>
        <w:tc>
          <w:tcPr/>
          <w:p>
            <w:pPr>
              <w:pStyle w:val="Compact"/>
            </w:pPr>
            <w:r>
              <w:t xml:space="preserve">Structure</w:t>
            </w:r>
          </w:p>
        </w:tc>
        <w:tc>
          <w:tcPr/>
          <w:p>
            <w:pPr>
              <w:pStyle w:val="Compact"/>
            </w:pPr>
            <w:r>
              <w:t xml:space="preserve">Define the reinsurance layers (deductible, cover, aggregate deductible, aggregate limit).</w:t>
            </w:r>
          </w:p>
        </w:tc>
      </w:tr>
      <w:tr>
        <w:tc>
          <w:tcPr/>
          <w:p>
            <w:pPr>
              <w:pStyle w:val="Compact"/>
            </w:pPr>
            <w:r>
              <w:t xml:space="preserve">4</w:t>
            </w:r>
          </w:p>
        </w:tc>
        <w:tc>
          <w:tcPr/>
          <w:p>
            <w:pPr>
              <w:pStyle w:val="Compact"/>
            </w:pPr>
            <w:r>
              <w:t xml:space="preserve">Price</w:t>
            </w:r>
          </w:p>
        </w:tc>
        <w:tc>
          <w:tcPr/>
          <w:p>
            <w:pPr>
              <w:pStyle w:val="Compact"/>
            </w:pPr>
            <w:r>
              <w:t xml:space="preserve">Set the loadings and the simulation size, run the pricing, and read the results and validation.</w:t>
            </w:r>
          </w:p>
        </w:tc>
      </w:tr>
    </w:tbl>
    <w:p>
      <w:pPr>
        <w:pStyle w:val="BodyText"/>
      </w:pPr>
      <w:r>
        <w:t xml:space="preserve">The steps are clickable, so an experienced user can jump back to iterate;</w:t>
      </w:r>
      <w:r>
        <w:t xml:space="preserve"> </w:t>
      </w:r>
      <w:r>
        <w:t xml:space="preserve">Back and Next buttons walk the linear path. Nothing is gated.</w:t>
      </w:r>
    </w:p>
    <w:bookmarkEnd w:id="22"/>
    <w:bookmarkStart w:id="23" w:name="prerequisites"/>
    <w:p>
      <w:pPr>
        <w:pStyle w:val="Heading2"/>
      </w:pPr>
      <w:r>
        <w:t xml:space="preserve">Prerequisites</w:t>
      </w:r>
    </w:p>
    <w:p>
      <w:pPr>
        <w:pStyle w:val="Compact"/>
        <w:numPr>
          <w:ilvl w:val="0"/>
          <w:numId w:val="1003"/>
        </w:numPr>
      </w:pPr>
      <w:r>
        <w:rPr>
          <w:b/>
          <w:bCs/>
        </w:rPr>
        <w:t xml:space="preserve">Operating system.</w:t>
      </w:r>
      <w:r>
        <w:t xml:space="preserve"> </w:t>
      </w:r>
      <w:r>
        <w:t xml:space="preserve">Windows (the launcher scripts are Windows specific). The</w:t>
      </w:r>
      <w:r>
        <w:t xml:space="preserve"> </w:t>
      </w:r>
      <w:r>
        <w:t xml:space="preserve">R code itself is cross-platform.</w:t>
      </w:r>
    </w:p>
    <w:p>
      <w:pPr>
        <w:pStyle w:val="Compact"/>
        <w:numPr>
          <w:ilvl w:val="0"/>
          <w:numId w:val="1003"/>
        </w:numPr>
      </w:pPr>
      <w:r>
        <w:rPr>
          <w:b/>
          <w:bCs/>
        </w:rPr>
        <w:t xml:space="preserve">R.</w:t>
      </w:r>
      <w:r>
        <w:t xml:space="preserve"> </w:t>
      </w:r>
      <w:r>
        <w:t xml:space="preserve">A recent R installation (developed and tested on R 4.5.2). R is the</w:t>
      </w:r>
      <w:r>
        <w:t xml:space="preserve"> </w:t>
      </w:r>
      <w:r>
        <w:t xml:space="preserve">only required runtime; there is no separate build step.</w:t>
      </w:r>
    </w:p>
    <w:p>
      <w:pPr>
        <w:pStyle w:val="Compact"/>
        <w:numPr>
          <w:ilvl w:val="0"/>
          <w:numId w:val="1003"/>
        </w:numPr>
      </w:pPr>
      <w:r>
        <w:rPr>
          <w:b/>
          <w:bCs/>
        </w:rPr>
        <w:t xml:space="preserve">R packages.</w:t>
      </w:r>
      <w:r>
        <w:t xml:space="preserve"> </w:t>
      </w:r>
      <w:r>
        <w:rPr>
          <w:rStyle w:val="VerbatimChar"/>
        </w:rPr>
        <w:t xml:space="preserve">shiny</w:t>
      </w:r>
      <w:r>
        <w:t xml:space="preserve"> </w:t>
      </w:r>
      <w:r>
        <w:t xml:space="preserve">(the dashboard, which also brings</w:t>
      </w:r>
      <w:r>
        <w:t xml:space="preserve"> </w:t>
      </w:r>
      <w:r>
        <w:rPr>
          <w:rStyle w:val="VerbatimChar"/>
        </w:rPr>
        <w:t xml:space="preserve">later</w:t>
      </w:r>
      <w:r>
        <w:t xml:space="preserve"> </w:t>
      </w:r>
      <w:r>
        <w:t xml:space="preserve">for the</w:t>
      </w:r>
      <w:r>
        <w:t xml:space="preserve"> </w:t>
      </w:r>
      <w:r>
        <w:t xml:space="preserve">self-shutdown timer),</w:t>
      </w:r>
      <w:r>
        <w:t xml:space="preserve"> </w:t>
      </w:r>
      <w:r>
        <w:rPr>
          <w:rStyle w:val="VerbatimChar"/>
        </w:rPr>
        <w:t xml:space="preserve">fitdistrplus</w:t>
      </w:r>
      <w:r>
        <w:t xml:space="preserve"> </w:t>
      </w:r>
      <w:r>
        <w:t xml:space="preserve">(lognormal maximum likelihood),</w:t>
      </w:r>
      <w:r>
        <w:t xml:space="preserve"> </w:t>
      </w:r>
      <w:r>
        <w:rPr>
          <w:rStyle w:val="VerbatimChar"/>
        </w:rPr>
        <w:t xml:space="preserve">readxl</w:t>
      </w:r>
      <w:r>
        <w:t xml:space="preserve"> </w:t>
      </w:r>
      <w:r>
        <w:t xml:space="preserve">(reading Excel), and</w:t>
      </w:r>
      <w:r>
        <w:t xml:space="preserve"> </w:t>
      </w:r>
      <w:r>
        <w:rPr>
          <w:rStyle w:val="VerbatimChar"/>
        </w:rPr>
        <w:t xml:space="preserve">openxlsx</w:t>
      </w:r>
      <w:r>
        <w:t xml:space="preserve"> </w:t>
      </w:r>
      <w:r>
        <w:t xml:space="preserve">(writing Excel).</w:t>
      </w:r>
      <w:r>
        <w:t xml:space="preserve"> </w:t>
      </w:r>
      <w:r>
        <w:rPr>
          <w:rStyle w:val="VerbatimChar"/>
        </w:rPr>
        <w:t xml:space="preserve">testthat</w:t>
      </w:r>
      <w:r>
        <w:t xml:space="preserve"> </w:t>
      </w:r>
      <w:r>
        <w:t xml:space="preserve">is needed only to</w:t>
      </w:r>
      <w:r>
        <w:t xml:space="preserve"> </w:t>
      </w:r>
      <w:r>
        <w:t xml:space="preserve">run the test suite. These are installed automatically on first run (see</w:t>
      </w:r>
      <w:r>
        <w:t xml:space="preserve"> </w:t>
      </w:r>
      <w:r>
        <w:t xml:space="preserve">below).</w:t>
      </w:r>
    </w:p>
    <w:p>
      <w:pPr>
        <w:pStyle w:val="Compact"/>
        <w:numPr>
          <w:ilvl w:val="0"/>
          <w:numId w:val="1003"/>
        </w:numPr>
      </w:pPr>
      <w:r>
        <w:rPr>
          <w:b/>
          <w:bCs/>
        </w:rPr>
        <w:t xml:space="preserve">Internet access (first run only).</w:t>
      </w:r>
      <w:r>
        <w:t xml:space="preserve"> </w:t>
      </w:r>
      <w:r>
        <w:t xml:space="preserve">Installing the packages needs to reach</w:t>
      </w:r>
      <w:r>
        <w:t xml:space="preserve"> </w:t>
      </w:r>
      <w:r>
        <w:t xml:space="preserve">CRAN. On a locked-down network you can point the tool at an internal mirror by</w:t>
      </w:r>
      <w:r>
        <w:t xml:space="preserve"> </w:t>
      </w:r>
      <w:r>
        <w:t xml:space="preserve">putting the mirror URL in a file named</w:t>
      </w:r>
      <w:r>
        <w:t xml:space="preserve"> </w:t>
      </w:r>
      <w:r>
        <w:rPr>
          <w:rStyle w:val="VerbatimChar"/>
        </w:rPr>
        <w:t xml:space="preserve">CRAN_MIRROR.txt</w:t>
      </w:r>
      <w:r>
        <w:t xml:space="preserve"> </w:t>
      </w:r>
      <w:r>
        <w:t xml:space="preserve">next to the launcher.</w:t>
      </w:r>
    </w:p>
    <w:p>
      <w:pPr>
        <w:pStyle w:val="Compact"/>
        <w:numPr>
          <w:ilvl w:val="0"/>
          <w:numId w:val="1003"/>
        </w:numPr>
      </w:pPr>
      <w:r>
        <w:rPr>
          <w:b/>
          <w:bCs/>
        </w:rPr>
        <w:t xml:space="preserve">Excel.</w:t>
      </w:r>
      <w:r>
        <w:t xml:space="preserve"> </w:t>
      </w:r>
      <w:r>
        <w:t xml:space="preserve">Not required to run the tool. It is only useful for viewing the</w:t>
      </w:r>
      <w:r>
        <w:t xml:space="preserve"> </w:t>
      </w:r>
      <w:r>
        <w:t xml:space="preserve">input and output workbooks.</w:t>
      </w:r>
    </w:p>
    <w:bookmarkEnd w:id="23"/>
    <w:bookmarkStart w:id="24" w:name="installation-and-first-run"/>
    <w:p>
      <w:pPr>
        <w:pStyle w:val="Heading2"/>
      </w:pPr>
      <w:r>
        <w:t xml:space="preserve">Installation and first run</w:t>
      </w:r>
    </w:p>
    <w:p>
      <w:pPr>
        <w:pStyle w:val="FirstParagraph"/>
      </w:pPr>
      <w:r>
        <w:t xml:space="preserve">For an end user the simplest path is to double-click</w:t>
      </w:r>
      <w:r>
        <w:t xml:space="preserve"> </w:t>
      </w:r>
      <w:r>
        <w:rPr>
          <w:rStyle w:val="VerbatimChar"/>
        </w:rPr>
        <w:t xml:space="preserve">start.vbs</w:t>
      </w:r>
      <w:r>
        <w:t xml:space="preserve"> </w:t>
      </w:r>
      <w:r>
        <w:t xml:space="preserve">in the top</w:t>
      </w:r>
      <w:r>
        <w:t xml:space="preserve"> </w:t>
      </w:r>
      <w:r>
        <w:t xml:space="preserve">folder. It launches the tool hidden (no console window) and opens the dashboard</w:t>
      </w:r>
      <w:r>
        <w:t xml:space="preserve"> </w:t>
      </w:r>
      <w:r>
        <w:t xml:space="preserve">in the default browser.</w:t>
      </w:r>
      <w:r>
        <w:t xml:space="preserve"> </w:t>
      </w:r>
      <w:r>
        <w:rPr>
          <w:rStyle w:val="VerbatimChar"/>
        </w:rPr>
        <w:t xml:space="preserve">engine\start.bat</w:t>
      </w:r>
      <w:r>
        <w:t xml:space="preserve"> </w:t>
      </w:r>
      <w:r>
        <w:t xml:space="preserve">does the same with a visible console,</w:t>
      </w:r>
      <w:r>
        <w:t xml:space="preserve"> </w:t>
      </w:r>
      <w:r>
        <w:t xml:space="preserve">which is useful for troubleshooting.</w:t>
      </w:r>
    </w:p>
    <w:p>
      <w:pPr>
        <w:pStyle w:val="BodyText"/>
      </w:pPr>
      <w:r>
        <w:t xml:space="preserve">On first run the launcher calls</w:t>
      </w:r>
      <w:r>
        <w:t xml:space="preserve"> </w:t>
      </w:r>
      <w:r>
        <w:rPr>
          <w:rStyle w:val="VerbatimChar"/>
        </w:rPr>
        <w:t xml:space="preserve">install_deps.R</w:t>
      </w:r>
      <w:r>
        <w:t xml:space="preserve">, which installs any missing</w:t>
      </w:r>
      <w:r>
        <w:t xml:space="preserve"> </w:t>
      </w:r>
      <w:r>
        <w:t xml:space="preserve">packages and then re-checks them. If a required package cannot be installed (for</w:t>
      </w:r>
      <w:r>
        <w:t xml:space="preserve"> </w:t>
      </w:r>
      <w:r>
        <w:t xml:space="preserve">example, no internet or a corporate firewall), it prints a clear message</w:t>
      </w:r>
      <w:r>
        <w:t xml:space="preserve"> </w:t>
      </w:r>
      <w:r>
        <w:t xml:space="preserve">explaining what to do rather than failing silently.</w:t>
      </w:r>
    </w:p>
    <w:bookmarkEnd w:id="24"/>
    <w:bookmarkStart w:id="25" w:name="project-layout"/>
    <w:p>
      <w:pPr>
        <w:pStyle w:val="Heading2"/>
      </w:pPr>
      <w:r>
        <w:t xml:space="preserve">Project layout</w:t>
      </w:r>
    </w:p>
    <w:p>
      <w:pPr>
        <w:pStyle w:val="FirstParagraph"/>
      </w:pPr>
      <w:r>
        <w:t xml:space="preserve">The project is split so end users see a clean top folder, while all the code</w:t>
      </w:r>
      <w:r>
        <w:t xml:space="preserve"> </w:t>
      </w:r>
      <w:r>
        <w:t xml:space="preserve">lives in</w:t>
      </w:r>
      <w:r>
        <w:t xml:space="preserve"> </w:t>
      </w:r>
      <w:r>
        <w:rPr>
          <w:rStyle w:val="VerbatimChar"/>
        </w:rPr>
        <w:t xml:space="preserve">engine/</w:t>
      </w:r>
      <w:r>
        <w:t xml:space="preserv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start.vbs</w:t>
            </w:r>
          </w:p>
        </w:tc>
        <w:tc>
          <w:tcPr/>
          <w:p>
            <w:pPr>
              <w:pStyle w:val="Compact"/>
            </w:pPr>
            <w:r>
              <w:t xml:space="preserve">Hidden launcher (double-click to run).</w:t>
            </w:r>
          </w:p>
        </w:tc>
      </w:tr>
      <w:tr>
        <w:tc>
          <w:tcPr/>
          <w:p>
            <w:pPr>
              <w:pStyle w:val="Compact"/>
            </w:pPr>
            <w:r>
              <w:rPr>
                <w:rStyle w:val="VerbatimChar"/>
              </w:rPr>
              <w:t xml:space="preserve">input.xlsx</w:t>
            </w:r>
          </w:p>
        </w:tc>
        <w:tc>
          <w:tcPr/>
          <w:p>
            <w:pPr>
              <w:pStyle w:val="Compact"/>
            </w:pPr>
            <w:r>
              <w:t xml:space="preserve">The example input workbook (styled to match the dashboard).</w:t>
            </w:r>
          </w:p>
        </w:tc>
      </w:tr>
      <w:tr>
        <w:tc>
          <w:tcPr/>
          <w:p>
            <w:pPr>
              <w:pStyle w:val="Compact"/>
            </w:pPr>
            <w:r>
              <w:rPr>
                <w:rStyle w:val="VerbatimChar"/>
              </w:rPr>
              <w:t xml:space="preserve">README.md</w:t>
            </w:r>
          </w:p>
        </w:tc>
        <w:tc>
          <w:tcPr/>
          <w:p>
            <w:pPr>
              <w:pStyle w:val="Compact"/>
            </w:pPr>
            <w:r>
              <w:t xml:space="preserve">Short orientation for the repository.</w:t>
            </w:r>
          </w:p>
        </w:tc>
      </w:tr>
      <w:tr>
        <w:tc>
          <w:tcPr/>
          <w:p>
            <w:pPr>
              <w:pStyle w:val="Compact"/>
            </w:pPr>
            <w:r>
              <w:rPr>
                <w:rStyle w:val="VerbatimChar"/>
              </w:rPr>
              <w:t xml:space="preserve">engine/</w:t>
            </w:r>
          </w:p>
        </w:tc>
        <w:tc>
          <w:tcPr/>
          <w:p>
            <w:pPr>
              <w:pStyle w:val="Compact"/>
            </w:pPr>
            <w:r>
              <w:t xml:space="preserve">All the code and tests.</w:t>
            </w:r>
          </w:p>
        </w:tc>
      </w:tr>
      <w:tr>
        <w:tc>
          <w:tcPr/>
          <w:p>
            <w:pPr>
              <w:pStyle w:val="Compact"/>
            </w:pPr>
            <w:r>
              <w:rPr>
                <w:rStyle w:val="VerbatimChar"/>
              </w:rPr>
              <w:t xml:space="preserve">engine/app.R</w:t>
            </w:r>
          </w:p>
        </w:tc>
        <w:tc>
          <w:tcPr/>
          <w:p>
            <w:pPr>
              <w:pStyle w:val="Compact"/>
            </w:pPr>
            <w:r>
              <w:t xml:space="preserve">The Shiny dashboard (UI and server).</w:t>
            </w:r>
          </w:p>
        </w:tc>
      </w:tr>
      <w:tr>
        <w:tc>
          <w:tcPr/>
          <w:p>
            <w:pPr>
              <w:pStyle w:val="Compact"/>
            </w:pPr>
            <w:r>
              <w:rPr>
                <w:rStyle w:val="VerbatimChar"/>
              </w:rPr>
              <w:t xml:space="preserve">engine/R/</w:t>
            </w:r>
          </w:p>
        </w:tc>
        <w:tc>
          <w:tcPr/>
          <w:p>
            <w:pPr>
              <w:pStyle w:val="Compact"/>
            </w:pPr>
            <w:r>
              <w:t xml:space="preserve">One module per responsibility (see the module map).</w:t>
            </w:r>
          </w:p>
        </w:tc>
      </w:tr>
      <w:tr>
        <w:tc>
          <w:tcPr/>
          <w:p>
            <w:pPr>
              <w:pStyle w:val="Compact"/>
            </w:pPr>
            <w:r>
              <w:rPr>
                <w:rStyle w:val="VerbatimChar"/>
              </w:rPr>
              <w:t xml:space="preserve">engine/tests/testthat/</w:t>
            </w:r>
          </w:p>
        </w:tc>
        <w:tc>
          <w:tcPr/>
          <w:p>
            <w:pPr>
              <w:pStyle w:val="Compact"/>
            </w:pPr>
            <w:r>
              <w:t xml:space="preserve">One test file per module.</w:t>
            </w:r>
          </w:p>
        </w:tc>
      </w:tr>
      <w:tr>
        <w:tc>
          <w:tcPr/>
          <w:p>
            <w:pPr>
              <w:pStyle w:val="Compact"/>
            </w:pPr>
            <w:r>
              <w:rPr>
                <w:rStyle w:val="VerbatimChar"/>
              </w:rPr>
              <w:t xml:space="preserve">engine/make_example.R</w:t>
            </w:r>
          </w:p>
        </w:tc>
        <w:tc>
          <w:tcPr/>
          <w:p>
            <w:pPr>
              <w:pStyle w:val="Compact"/>
            </w:pPr>
            <w:r>
              <w:t xml:space="preserve">Regenerates the styled</w:t>
            </w:r>
            <w:r>
              <w:t xml:space="preserve"> </w:t>
            </w:r>
            <w:r>
              <w:rPr>
                <w:rStyle w:val="VerbatimChar"/>
              </w:rPr>
              <w:t xml:space="preserve">input.xlsx</w:t>
            </w:r>
            <w:r>
              <w:t xml:space="preserve"> </w:t>
            </w:r>
            <w:r>
              <w:t xml:space="preserve">template.</w:t>
            </w:r>
          </w:p>
        </w:tc>
      </w:tr>
      <w:tr>
        <w:tc>
          <w:tcPr/>
          <w:p>
            <w:pPr>
              <w:pStyle w:val="Compact"/>
            </w:pPr>
            <w:r>
              <w:rPr>
                <w:rStyle w:val="VerbatimChar"/>
              </w:rPr>
              <w:t xml:space="preserve">engine/install_deps.R</w:t>
            </w:r>
          </w:p>
        </w:tc>
        <w:tc>
          <w:tcPr/>
          <w:p>
            <w:pPr>
              <w:pStyle w:val="Compact"/>
            </w:pPr>
            <w:r>
              <w:t xml:space="preserve">Installs and verifies the required packages.</w:t>
            </w:r>
          </w:p>
        </w:tc>
      </w:tr>
      <w:tr>
        <w:tc>
          <w:tcPr/>
          <w:p>
            <w:pPr>
              <w:pStyle w:val="Compact"/>
            </w:pPr>
            <w:r>
              <w:rPr>
                <w:rStyle w:val="VerbatimChar"/>
              </w:rPr>
              <w:t xml:space="preserve">engine/docs/</w:t>
            </w:r>
          </w:p>
        </w:tc>
        <w:tc>
          <w:tcPr/>
          <w:p>
            <w:pPr>
              <w:pStyle w:val="Compact"/>
            </w:pPr>
            <w:r>
              <w:t xml:space="preserve">The Markdown source of this documentation.</w:t>
            </w:r>
          </w:p>
        </w:tc>
      </w:tr>
    </w:tbl>
    <w:bookmarkEnd w:id="25"/>
    <w:bookmarkStart w:id="26" w:name="ways-to-run-it"/>
    <w:p>
      <w:pPr>
        <w:pStyle w:val="Heading2"/>
      </w:pPr>
      <w:r>
        <w:t xml:space="preserve">Ways to run it</w:t>
      </w:r>
    </w:p>
    <w:p>
      <w:pPr>
        <w:pStyle w:val="FirstParagraph"/>
      </w:pPr>
      <w:r>
        <w:t xml:space="preserve">All commands below run from inside the</w:t>
      </w:r>
      <w:r>
        <w:t xml:space="preserve"> </w:t>
      </w:r>
      <w:r>
        <w:rPr>
          <w:rStyle w:val="VerbatimChar"/>
        </w:rPr>
        <w:t xml:space="preserve">engine/</w:t>
      </w:r>
      <w:r>
        <w:t xml:space="preserve"> </w:t>
      </w:r>
      <w:r>
        <w:t xml:space="preserve">folder.</w:t>
      </w:r>
    </w:p>
    <w:p>
      <w:pPr>
        <w:pStyle w:val="Compact"/>
        <w:numPr>
          <w:ilvl w:val="0"/>
          <w:numId w:val="1004"/>
        </w:numPr>
      </w:pPr>
      <w:r>
        <w:rPr>
          <w:b/>
          <w:bCs/>
        </w:rPr>
        <w:t xml:space="preserve">Launch the dashboard:</w:t>
      </w:r>
      <w:r>
        <w:t xml:space="preserve"> </w:t>
      </w:r>
      <w:r>
        <w:rPr>
          <w:rStyle w:val="VerbatimChar"/>
        </w:rPr>
        <w:t xml:space="preserve">Rscript -e "shiny::runApp('.')"</w:t>
      </w:r>
      <w:r>
        <w:t xml:space="preserve"> </w:t>
      </w:r>
      <w:r>
        <w:t xml:space="preserve">(or open</w:t>
      </w:r>
      <w:r>
        <w:t xml:space="preserve"> </w:t>
      </w:r>
      <w:r>
        <w:rPr>
          <w:rStyle w:val="VerbatimChar"/>
        </w:rPr>
        <w:t xml:space="preserve">app.R</w:t>
      </w:r>
      <w:r>
        <w:t xml:space="preserve"> </w:t>
      </w:r>
      <w:r>
        <w:t xml:space="preserve">in RStudio and click Run App).</w:t>
      </w:r>
    </w:p>
    <w:p>
      <w:pPr>
        <w:pStyle w:val="Compact"/>
        <w:numPr>
          <w:ilvl w:val="0"/>
          <w:numId w:val="1004"/>
        </w:numPr>
      </w:pPr>
      <w:r>
        <w:rPr>
          <w:b/>
          <w:bCs/>
        </w:rPr>
        <w:t xml:space="preserve">Run the test suite:</w:t>
      </w:r>
      <w:r>
        <w:t xml:space="preserve"> </w:t>
      </w:r>
      <w:r>
        <w:rPr>
          <w:rStyle w:val="VerbatimChar"/>
        </w:rPr>
        <w:t xml:space="preserve">Rscript run_tests.R</w:t>
      </w:r>
      <w:r>
        <w:t xml:space="preserve">.</w:t>
      </w:r>
    </w:p>
    <w:p>
      <w:pPr>
        <w:pStyle w:val="Compact"/>
        <w:numPr>
          <w:ilvl w:val="0"/>
          <w:numId w:val="1004"/>
        </w:numPr>
      </w:pPr>
      <w:r>
        <w:rPr>
          <w:b/>
          <w:bCs/>
        </w:rPr>
        <w:t xml:space="preserve">Price a workbook without the UI:</w:t>
      </w:r>
      <w:r>
        <w:t xml:space="preserve"> </w:t>
      </w:r>
      <w:r>
        <w:t xml:space="preserve">source</w:t>
      </w:r>
      <w:r>
        <w:t xml:space="preserve"> </w:t>
      </w:r>
      <w:r>
        <w:rPr>
          <w:rStyle w:val="VerbatimChar"/>
        </w:rPr>
        <w:t xml:space="preserve">app.R</w:t>
      </w:r>
      <w:r>
        <w:t xml:space="preserve"> </w:t>
      </w:r>
      <w:r>
        <w:t xml:space="preserve">(which loads every module)</w:t>
      </w:r>
      <w:r>
        <w:t xml:space="preserve"> </w:t>
      </w:r>
      <w:r>
        <w:t xml:space="preserve">then call</w:t>
      </w:r>
      <w:r>
        <w:t xml:space="preserve"> </w:t>
      </w:r>
      <w:r>
        <w:rPr>
          <w:rStyle w:val="VerbatimChar"/>
        </w:rPr>
        <w:t xml:space="preserve">run_pricing("../input.xlsx", overrides = list(...))</w:t>
      </w:r>
      <w:r>
        <w:t xml:space="preserve">.</w:t>
      </w:r>
    </w:p>
    <w:p>
      <w:pPr>
        <w:pStyle w:val="Compact"/>
        <w:numPr>
          <w:ilvl w:val="0"/>
          <w:numId w:val="1004"/>
        </w:numPr>
      </w:pPr>
      <w:r>
        <w:rPr>
          <w:b/>
          <w:bCs/>
        </w:rPr>
        <w:t xml:space="preserve">Regenerate the example workbook:</w:t>
      </w:r>
      <w:r>
        <w:t xml:space="preserve"> </w:t>
      </w:r>
      <w:r>
        <w:rPr>
          <w:rStyle w:val="VerbatimChar"/>
        </w:rPr>
        <w:t xml:space="preserve">Rscript make_example.R</w:t>
      </w:r>
      <w:r>
        <w:t xml:space="preserve">.</w:t>
      </w:r>
    </w:p>
    <w:bookmarkEnd w:id="26"/>
    <w:bookmarkStart w:id="27" w:name="input-workbook-format"/>
    <w:p>
      <w:pPr>
        <w:pStyle w:val="Heading2"/>
      </w:pPr>
      <w:r>
        <w:t xml:space="preserve">Input workbook format</w:t>
      </w:r>
    </w:p>
    <w:p>
      <w:pPr>
        <w:pStyle w:val="FirstParagraph"/>
      </w:pPr>
      <w:r>
        <w:t xml:space="preserve">A single Excel workbook with four sheets. The reinsurance structure is</w:t>
      </w:r>
      <w:r>
        <w:t xml:space="preserve"> </w:t>
      </w:r>
      <w:r>
        <w:rPr>
          <w:b/>
          <w:bCs/>
        </w:rPr>
        <w:t xml:space="preserve">not</w:t>
      </w:r>
      <w:r>
        <w:t xml:space="preserve"> </w:t>
      </w:r>
      <w:r>
        <w:t xml:space="preserve">in the workbook; it is defined in the dashboard.</w:t>
      </w:r>
    </w:p>
    <w:p>
      <w:pPr>
        <w:pStyle w:val="BodyText"/>
      </w:pPr>
      <w:r>
        <w:rPr>
          <w:b/>
          <w:bCs/>
        </w:rPr>
        <w:t xml:space="preserve">Sheet</w:t>
      </w:r>
      <w:r>
        <w:rPr>
          <w:b/>
          <w:bCs/>
        </w:rPr>
        <w:t xml:space="preserve"> </w:t>
      </w:r>
      <w:r>
        <w:rPr>
          <w:rStyle w:val="VerbatimChar"/>
          <w:b/>
          <w:bCs/>
        </w:rPr>
        <w:t xml:space="preserve">losses</w:t>
      </w:r>
      <w:r>
        <w:t xml:space="preserve"> </w:t>
      </w:r>
      <w:r>
        <w:t xml:space="preserve">(one row per individual loss):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year</w:t>
            </w:r>
          </w:p>
        </w:tc>
        <w:tc>
          <w:tcPr/>
          <w:p>
            <w:pPr>
              <w:pStyle w:val="Compact"/>
            </w:pPr>
            <w:r>
              <w:t xml:space="preserve">integer</w:t>
            </w:r>
          </w:p>
        </w:tc>
        <w:tc>
          <w:tcPr/>
          <w:p>
            <w:pPr>
              <w:pStyle w:val="Compact"/>
            </w:pPr>
            <w:r>
              <w:t xml:space="preserve">accident or occurrence year</w:t>
            </w:r>
          </w:p>
        </w:tc>
      </w:tr>
      <w:tr>
        <w:tc>
          <w:tcPr/>
          <w:p>
            <w:pPr>
              <w:pStyle w:val="Compact"/>
            </w:pPr>
            <w:r>
              <w:rPr>
                <w:rStyle w:val="VerbatimChar"/>
              </w:rPr>
              <w:t xml:space="preserve">loss</w:t>
            </w:r>
          </w:p>
        </w:tc>
        <w:tc>
          <w:tcPr/>
          <w:p>
            <w:pPr>
              <w:pStyle w:val="Compact"/>
            </w:pPr>
            <w:r>
              <w:t xml:space="preserve">numeric</w:t>
            </w:r>
          </w:p>
        </w:tc>
        <w:tc>
          <w:tcPr/>
          <w:p>
            <w:pPr>
              <w:pStyle w:val="Compact"/>
            </w:pPr>
            <w:r>
              <w:t xml:space="preserve">ground-up loss amount</w:t>
            </w:r>
          </w:p>
        </w:tc>
      </w:tr>
      <w:tr>
        <w:tc>
          <w:tcPr/>
          <w:p>
            <w:pPr>
              <w:pStyle w:val="Compact"/>
            </w:pPr>
            <w:r>
              <w:rPr>
                <w:rStyle w:val="VerbatimChar"/>
              </w:rPr>
              <w:t xml:space="preserve">line_of_business</w:t>
            </w:r>
          </w:p>
        </w:tc>
        <w:tc>
          <w:tcPr/>
          <w:p>
            <w:pPr>
              <w:pStyle w:val="Compact"/>
            </w:pPr>
            <w:r>
              <w:t xml:space="preserve">text</w:t>
            </w:r>
          </w:p>
        </w:tc>
        <w:tc>
          <w:tcPr/>
          <w:p>
            <w:pPr>
              <w:pStyle w:val="Compact"/>
            </w:pPr>
            <w:r>
              <w:t xml:space="preserve">optional, informational</w:t>
            </w:r>
          </w:p>
        </w:tc>
      </w:tr>
    </w:tbl>
    <w:p>
      <w:pPr>
        <w:pStyle w:val="BodyText"/>
      </w:pPr>
      <w:r>
        <w:rPr>
          <w:b/>
          <w:bCs/>
        </w:rPr>
        <w:t xml:space="preserve">Sheet</w:t>
      </w:r>
      <w:r>
        <w:rPr>
          <w:b/>
          <w:bCs/>
        </w:rPr>
        <w:t xml:space="preserve"> </w:t>
      </w:r>
      <w:r>
        <w:rPr>
          <w:rStyle w:val="VerbatimChar"/>
          <w:b/>
          <w:bCs/>
        </w:rPr>
        <w:t xml:space="preserve">exposure</w:t>
      </w:r>
      <w:r>
        <w:t xml:space="preserve"> </w:t>
      </w:r>
      <w:r>
        <w:t xml:space="preserve">(one row per year, including the prospective valuation</w:t>
      </w:r>
      <w:r>
        <w:t xml:space="preserve"> </w:t>
      </w:r>
      <w:r>
        <w:t xml:space="preserve">year):</w:t>
      </w:r>
    </w:p>
    <w:tbl>
      <w:tblPr>
        <w:tblStyle w:val="Table"/>
        <w:tblW w:type="pct" w:w="5000"/>
        <w:tblLayout w:type="fixed"/>
        <w:tblLook w:firstRow="1" w:lastRow="0" w:firstColumn="0" w:lastColumn="0" w:noHBand="0" w:noVBand="0" w:val="0020"/>
      </w:tblPr>
      <w:tblGrid>
        <w:gridCol w:w="3017"/>
        <w:gridCol w:w="2262"/>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year</w:t>
            </w:r>
          </w:p>
        </w:tc>
        <w:tc>
          <w:tcPr/>
          <w:p>
            <w:pPr>
              <w:pStyle w:val="Compact"/>
            </w:pPr>
            <w:r>
              <w:t xml:space="preserve">integer</w:t>
            </w:r>
          </w:p>
        </w:tc>
        <w:tc>
          <w:tcPr/>
          <w:p>
            <w:pPr>
              <w:pStyle w:val="Compact"/>
            </w:pPr>
          </w:p>
        </w:tc>
      </w:tr>
      <w:tr>
        <w:tc>
          <w:tcPr/>
          <w:p>
            <w:pPr>
              <w:pStyle w:val="Compact"/>
            </w:pPr>
            <w:r>
              <w:rPr>
                <w:rStyle w:val="VerbatimChar"/>
              </w:rPr>
              <w:t xml:space="preserve">exposure</w:t>
            </w:r>
          </w:p>
        </w:tc>
        <w:tc>
          <w:tcPr/>
          <w:p>
            <w:pPr>
              <w:pStyle w:val="Compact"/>
            </w:pPr>
            <w:r>
              <w:t xml:space="preserve">numeric</w:t>
            </w:r>
          </w:p>
        </w:tc>
        <w:tc>
          <w:tcPr/>
          <w:p>
            <w:pPr>
              <w:pStyle w:val="Compact"/>
            </w:pPr>
            <w:r>
              <w:t xml:space="preserve">exposure measure, for example number of risks or sum insured</w:t>
            </w:r>
          </w:p>
        </w:tc>
      </w:tr>
    </w:tbl>
    <w:p>
      <w:pPr>
        <w:pStyle w:val="BodyText"/>
      </w:pPr>
      <w:r>
        <w:rPr>
          <w:b/>
          <w:bCs/>
        </w:rPr>
        <w:t xml:space="preserve">Sheet</w:t>
      </w:r>
      <w:r>
        <w:rPr>
          <w:b/>
          <w:bCs/>
        </w:rPr>
        <w:t xml:space="preserve"> </w:t>
      </w:r>
      <w:r>
        <w:rPr>
          <w:rStyle w:val="VerbatimChar"/>
          <w:b/>
          <w:bCs/>
        </w:rPr>
        <w:t xml:space="preserve">inflation</w:t>
      </w:r>
      <w:r>
        <w:t xml:space="preserve"> </w:t>
      </w:r>
      <w:r>
        <w:t xml:space="preserve">(loss inflation is a per-year rate, not a single</w:t>
      </w:r>
      <w:r>
        <w:t xml:space="preserve"> </w:t>
      </w:r>
      <w:r>
        <w:t xml:space="preserve">constant):</w:t>
      </w:r>
    </w:p>
    <w:tbl>
      <w:tblPr>
        <w:tblStyle w:val="Table"/>
        <w:tblW w:type="pct" w:w="5000"/>
        <w:tblLayout w:type="fixed"/>
        <w:tblLook w:firstRow="1" w:lastRow="0" w:firstColumn="0" w:lastColumn="0" w:noHBand="0" w:noVBand="0" w:val="0020"/>
      </w:tblPr>
      <w:tblGrid>
        <w:gridCol w:w="3017"/>
        <w:gridCol w:w="2262"/>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year</w:t>
            </w:r>
          </w:p>
        </w:tc>
        <w:tc>
          <w:tcPr/>
          <w:p>
            <w:pPr>
              <w:pStyle w:val="Compact"/>
            </w:pPr>
            <w:r>
              <w:t xml:space="preserve">integer</w:t>
            </w:r>
          </w:p>
        </w:tc>
        <w:tc>
          <w:tcPr/>
          <w:p>
            <w:pPr>
              <w:pStyle w:val="Compact"/>
            </w:pPr>
          </w:p>
        </w:tc>
      </w:tr>
      <w:tr>
        <w:tc>
          <w:tcPr/>
          <w:p>
            <w:pPr>
              <w:pStyle w:val="Compact"/>
            </w:pPr>
            <w:r>
              <w:rPr>
                <w:rStyle w:val="VerbatimChar"/>
              </w:rPr>
              <w:t xml:space="preserve">inflation</w:t>
            </w:r>
          </w:p>
        </w:tc>
        <w:tc>
          <w:tcPr/>
          <w:p>
            <w:pPr>
              <w:pStyle w:val="Compact"/>
            </w:pPr>
            <w:r>
              <w:t xml:space="preserve">numeric</w:t>
            </w:r>
          </w:p>
        </w:tc>
        <w:tc>
          <w:tcPr/>
          <w:p>
            <w:pPr>
              <w:pStyle w:val="Compact"/>
            </w:pPr>
            <w:r>
              <w:t xml:space="preserve">loss inflation during that year, for example 0.03 for 3%</w:t>
            </w:r>
          </w:p>
        </w:tc>
      </w:tr>
    </w:tbl>
    <w:p>
      <w:pPr>
        <w:pStyle w:val="BodyText"/>
      </w:pPr>
      <w:r>
        <w:rPr>
          <w:b/>
          <w:bCs/>
        </w:rPr>
        <w:t xml:space="preserve">Sheet</w:t>
      </w:r>
      <w:r>
        <w:rPr>
          <w:b/>
          <w:bCs/>
        </w:rPr>
        <w:t xml:space="preserve"> </w:t>
      </w:r>
      <w:r>
        <w:rPr>
          <w:rStyle w:val="VerbatimChar"/>
          <w:b/>
          <w:bCs/>
        </w:rPr>
        <w:t xml:space="preserve">parameters</w:t>
      </w:r>
      <w:r>
        <w:t xml:space="preserve"> </w:t>
      </w:r>
      <w:r>
        <w:t xml:space="preserve">(key and value rows; only the data parameters live here,</w:t>
      </w:r>
      <w:r>
        <w:t xml:space="preserve"> </w:t>
      </w:r>
      <w:r>
        <w:t xml:space="preserve">the modelling choices are set in the dashboard):</w:t>
      </w:r>
    </w:p>
    <w:tbl>
      <w:tblPr>
        <w:tblStyle w:val="Table"/>
        <w:tblW w:type="pct" w:w="5000"/>
        <w:tblLayout w:type="fixed"/>
        <w:tblLook w:firstRow="1" w:lastRow="0" w:firstColumn="0" w:lastColumn="0" w:noHBand="0" w:noVBand="0" w:val="0020"/>
      </w:tblPr>
      <w:tblGrid>
        <w:gridCol w:w="1885"/>
        <w:gridCol w:w="3394"/>
        <w:gridCol w:w="2640"/>
      </w:tblGrid>
      <w:tr>
        <w:trPr>
          <w:tblHeader w:val="on"/>
        </w:trPr>
        <w:tc>
          <w:tcPr/>
          <w:p>
            <w:pPr>
              <w:pStyle w:val="Compact"/>
            </w:pPr>
            <w:r>
              <w:t xml:space="preserve">key</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reporting_threshold</w:t>
            </w:r>
          </w:p>
        </w:tc>
        <w:tc>
          <w:tcPr/>
          <w:p>
            <w:pPr>
              <w:pStyle w:val="Compact"/>
            </w:pPr>
            <w:r>
              <w:t xml:space="preserve">5</w:t>
            </w:r>
          </w:p>
        </w:tc>
        <w:tc>
          <w:tcPr/>
          <w:p>
            <w:pPr>
              <w:pStyle w:val="Compact"/>
            </w:pPr>
            <w:r>
              <w:t xml:space="preserve">losses below this are not present in the data</w:t>
            </w:r>
          </w:p>
        </w:tc>
      </w:tr>
      <w:tr>
        <w:tc>
          <w:tcPr/>
          <w:p>
            <w:pPr>
              <w:pStyle w:val="Compact"/>
            </w:pPr>
            <w:r>
              <w:rPr>
                <w:rStyle w:val="VerbatimChar"/>
              </w:rPr>
              <w:t xml:space="preserve">valuation_year</w:t>
            </w:r>
          </w:p>
        </w:tc>
        <w:tc>
          <w:tcPr/>
          <w:p>
            <w:pPr>
              <w:pStyle w:val="Compact"/>
            </w:pPr>
            <w:r>
              <w:t xml:space="preserve">2026</w:t>
            </w:r>
          </w:p>
        </w:tc>
        <w:tc>
          <w:tcPr/>
          <w:p>
            <w:pPr>
              <w:pStyle w:val="Compact"/>
            </w:pPr>
            <w:r>
              <w:t xml:space="preserve">the year all losses are revalued to</w:t>
            </w:r>
          </w:p>
        </w:tc>
      </w:tr>
    </w:tbl>
    <w:p>
      <w:pPr>
        <w:pStyle w:val="BodyText"/>
      </w:pPr>
      <w:r>
        <w:t xml:space="preserve">The workbook may optionally also carry modelling defaults (modelling threshold,</w:t>
      </w:r>
      <w:r>
        <w:t xml:space="preserve"> </w:t>
      </w:r>
      <w:r>
        <w:t xml:space="preserve">splice threshold, frequency model, simulations, loadings, VaR level). When</w:t>
      </w:r>
      <w:r>
        <w:t xml:space="preserve"> </w:t>
      </w:r>
      <w:r>
        <w:t xml:space="preserve">present they seed the dashboard controls. The precedence is: dashboard control</w:t>
      </w:r>
      <w:r>
        <w:t xml:space="preserve"> </w:t>
      </w:r>
      <w:r>
        <w:t xml:space="preserve">overrides the workbook value, which overrides the built-in default (see</w:t>
      </w:r>
      <w:r>
        <w:t xml:space="preserve"> </w:t>
      </w:r>
      <w:r>
        <w:rPr>
          <w:rStyle w:val="VerbatimChar"/>
        </w:rPr>
        <w:t xml:space="preserve">resolve_settings</w:t>
      </w:r>
      <w:r>
        <w:t xml:space="preserve"> </w:t>
      </w:r>
      <w:r>
        <w:t xml:space="preserve">in</w:t>
      </w:r>
      <w:r>
        <w:t xml:space="preserve"> </w:t>
      </w:r>
      <w:r>
        <w:rPr>
          <w:rStyle w:val="VerbatimChar"/>
        </w:rPr>
        <w:t xml:space="preserve">pipeline.R</w:t>
      </w:r>
      <w:r>
        <w:t xml:space="preserve">).</w:t>
      </w:r>
    </w:p>
    <w:bookmarkEnd w:id="27"/>
    <w:bookmarkStart w:id="28" w:name="output"/>
    <w:p>
      <w:pPr>
        <w:pStyle w:val="Heading2"/>
      </w:pPr>
      <w:r>
        <w:t xml:space="preserve">Output</w:t>
      </w:r>
    </w:p>
    <w:p>
      <w:pPr>
        <w:pStyle w:val="FirstParagraph"/>
      </w:pPr>
      <w:r>
        <w:t xml:space="preserve">When you download results from the dashboard, or pass an</w:t>
      </w:r>
      <w:r>
        <w:t xml:space="preserve"> </w:t>
      </w:r>
      <w:r>
        <w:rPr>
          <w:rStyle w:val="VerbatimChar"/>
        </w:rPr>
        <w:t xml:space="preserve">output_path</w:t>
      </w:r>
      <w:r>
        <w:t xml:space="preserve"> </w:t>
      </w:r>
      <w:r>
        <w:t xml:space="preserve">to</w:t>
      </w:r>
      <w:r>
        <w:t xml:space="preserve"> </w:t>
      </w:r>
      <w:r>
        <w:rPr>
          <w:rStyle w:val="VerbatimChar"/>
        </w:rPr>
        <w:t xml:space="preserve">run_pricing</w:t>
      </w:r>
      <w:r>
        <w:t xml:space="preserve">, the tool writes a two-sheet workbook:</w:t>
      </w:r>
    </w:p>
    <w:p>
      <w:pPr>
        <w:pStyle w:val="Compact"/>
        <w:numPr>
          <w:ilvl w:val="0"/>
          <w:numId w:val="1005"/>
        </w:numPr>
      </w:pPr>
      <w:r>
        <w:rPr>
          <w:rStyle w:val="VerbatimChar"/>
          <w:b/>
          <w:bCs/>
        </w:rPr>
        <w:t xml:space="preserve">results</w:t>
      </w:r>
      <w:r>
        <w:t xml:space="preserve">: one row per layer with the expected loss, standard deviation,</w:t>
      </w:r>
      <w:r>
        <w:t xml:space="preserve"> </w:t>
      </w:r>
      <w:r>
        <w:t xml:space="preserve">VaR, TVaR, both premiums, the closed-form expected loss, and the</w:t>
      </w:r>
      <w:r>
        <w:t xml:space="preserve"> </w:t>
      </w:r>
      <w:r>
        <w:t xml:space="preserve">validation delta.</w:t>
      </w:r>
    </w:p>
    <w:p>
      <w:pPr>
        <w:pStyle w:val="Compact"/>
        <w:numPr>
          <w:ilvl w:val="0"/>
          <w:numId w:val="1005"/>
        </w:numPr>
      </w:pPr>
      <w:r>
        <w:rPr>
          <w:rStyle w:val="VerbatimChar"/>
          <w:b/>
          <w:bCs/>
        </w:rPr>
        <w:t xml:space="preserve">assumptions</w:t>
      </w:r>
      <w:r>
        <w:t xml:space="preserve">: an echo of the fitted parameters and the settings used, so</w:t>
      </w:r>
      <w:r>
        <w:t xml:space="preserve"> </w:t>
      </w:r>
      <w:r>
        <w:t xml:space="preserve">a result is self-documenting.</w:t>
      </w:r>
    </w:p>
    <w:bookmarkEnd w:id="28"/>
    <w:bookmarkStart w:id="29" w:name="software-architecture"/>
    <w:p>
      <w:pPr>
        <w:pStyle w:val="Heading2"/>
      </w:pPr>
      <w:r>
        <w:t xml:space="preserve">Software architecture</w:t>
      </w:r>
    </w:p>
    <w:p>
      <w:pPr>
        <w:pStyle w:val="FirstParagraph"/>
      </w:pPr>
      <w:r>
        <w:t xml:space="preserve">The numerical work is split into small, independently testable modules in</w:t>
      </w:r>
      <w:r>
        <w:t xml:space="preserve"> </w:t>
      </w:r>
      <w:r>
        <w:rPr>
          <w:rStyle w:val="VerbatimChar"/>
        </w:rPr>
        <w:t xml:space="preserve">engine/R/</w:t>
      </w:r>
      <w:r>
        <w:t xml:space="preserve">. The dashboard (</w:t>
      </w:r>
      <w:r>
        <w:rPr>
          <w:rStyle w:val="VerbatimChar"/>
        </w:rPr>
        <w:t xml:space="preserve">app.R</w:t>
      </w:r>
      <w:r>
        <w:t xml:space="preserve">) only wires the user interface to these</w:t>
      </w:r>
      <w:r>
        <w:t xml:space="preserve"> </w:t>
      </w:r>
      <w:r>
        <w:t xml:space="preserve">modules; it contains no pricing mathematics of its own.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module</w:t>
            </w:r>
          </w:p>
        </w:tc>
        <w:tc>
          <w:tcPr/>
          <w:p>
            <w:pPr>
              <w:pStyle w:val="Compact"/>
            </w:pPr>
            <w:r>
              <w:t xml:space="preserve">responsibility</w:t>
            </w:r>
          </w:p>
        </w:tc>
      </w:tr>
      <w:tr>
        <w:tc>
          <w:tcPr/>
          <w:p>
            <w:pPr>
              <w:pStyle w:val="Compact"/>
            </w:pPr>
            <w:r>
              <w:rPr>
                <w:rStyle w:val="VerbatimChar"/>
              </w:rPr>
              <w:t xml:space="preserve">io.R</w:t>
            </w:r>
          </w:p>
        </w:tc>
        <w:tc>
          <w:tcPr/>
          <w:p>
            <w:pPr>
              <w:pStyle w:val="Compact"/>
            </w:pPr>
            <w:r>
              <w:t xml:space="preserve">read the input workbook, write the output workbook</w:t>
            </w:r>
          </w:p>
        </w:tc>
      </w:tr>
      <w:tr>
        <w:tc>
          <w:tcPr/>
          <w:p>
            <w:pPr>
              <w:pStyle w:val="Compact"/>
            </w:pPr>
            <w:r>
              <w:rPr>
                <w:rStyle w:val="VerbatimChar"/>
              </w:rPr>
              <w:t xml:space="preserve">layers.R</w:t>
            </w:r>
          </w:p>
        </w:tc>
        <w:tc>
          <w:tcPr/>
          <w:p>
            <w:pPr>
              <w:pStyle w:val="Compact"/>
            </w:pPr>
            <w:r>
              <w:t xml:space="preserve">the per-loss layer function and the default program</w:t>
            </w:r>
          </w:p>
        </w:tc>
      </w:tr>
      <w:tr>
        <w:tc>
          <w:tcPr/>
          <w:p>
            <w:pPr>
              <w:pStyle w:val="Compact"/>
            </w:pPr>
            <w:r>
              <w:rPr>
                <w:rStyle w:val="VerbatimChar"/>
              </w:rPr>
              <w:t xml:space="preserve">preprocess.R</w:t>
            </w:r>
          </w:p>
        </w:tc>
        <w:tc>
          <w:tcPr/>
          <w:p>
            <w:pPr>
              <w:pStyle w:val="Compact"/>
            </w:pPr>
            <w:r>
              <w:t xml:space="preserve">indexation, exposure correction, burning cost</w:t>
            </w:r>
          </w:p>
        </w:tc>
      </w:tr>
      <w:tr>
        <w:tc>
          <w:tcPr/>
          <w:p>
            <w:pPr>
              <w:pStyle w:val="Compact"/>
            </w:pPr>
            <w:r>
              <w:rPr>
                <w:rStyle w:val="VerbatimChar"/>
              </w:rPr>
              <w:t xml:space="preserve">fit_frequency.R</w:t>
            </w:r>
          </w:p>
        </w:tc>
        <w:tc>
          <w:tcPr/>
          <w:p>
            <w:pPr>
              <w:pStyle w:val="Compact"/>
            </w:pPr>
            <w:r>
              <w:t xml:space="preserve">fit and scale Poisson, Negative Binomial or Binomial</w:t>
            </w:r>
          </w:p>
        </w:tc>
      </w:tr>
      <w:tr>
        <w:tc>
          <w:tcPr/>
          <w:p>
            <w:pPr>
              <w:pStyle w:val="Compact"/>
            </w:pPr>
            <w:r>
              <w:rPr>
                <w:rStyle w:val="VerbatimChar"/>
              </w:rPr>
              <w:t xml:space="preserve">fit_severity.R</w:t>
            </w:r>
          </w:p>
        </w:tc>
        <w:tc>
          <w:tcPr/>
          <w:p>
            <w:pPr>
              <w:pStyle w:val="Compact"/>
            </w:pPr>
            <w:r>
              <w:t xml:space="preserve">fit the spliced lognormal and Pareto, survival, sampler</w:t>
            </w:r>
          </w:p>
        </w:tc>
      </w:tr>
      <w:tr>
        <w:tc>
          <w:tcPr/>
          <w:p>
            <w:pPr>
              <w:pStyle w:val="Compact"/>
            </w:pPr>
            <w:r>
              <w:rPr>
                <w:rStyle w:val="VerbatimChar"/>
              </w:rPr>
              <w:t xml:space="preserve">simulate.R</w:t>
            </w:r>
          </w:p>
        </w:tc>
        <w:tc>
          <w:tcPr/>
          <w:p>
            <w:pPr>
              <w:pStyle w:val="Compact"/>
            </w:pPr>
            <w:r>
              <w:t xml:space="preserve">Monte Carlo of annual ground-up losses</w:t>
            </w:r>
          </w:p>
        </w:tc>
      </w:tr>
      <w:tr>
        <w:tc>
          <w:tcPr/>
          <w:p>
            <w:pPr>
              <w:pStyle w:val="Compact"/>
            </w:pPr>
            <w:r>
              <w:rPr>
                <w:rStyle w:val="VerbatimChar"/>
              </w:rPr>
              <w:t xml:space="preserve">price.R</w:t>
            </w:r>
          </w:p>
        </w:tc>
        <w:tc>
          <w:tcPr/>
          <w:p>
            <w:pPr>
              <w:pStyle w:val="Compact"/>
            </w:pPr>
            <w:r>
              <w:t xml:space="preserve">apply the layers, compute premiums and risk metrics</w:t>
            </w:r>
          </w:p>
        </w:tc>
      </w:tr>
      <w:tr>
        <w:tc>
          <w:tcPr/>
          <w:p>
            <w:pPr>
              <w:pStyle w:val="Compact"/>
            </w:pPr>
            <w:r>
              <w:rPr>
                <w:rStyle w:val="VerbatimChar"/>
              </w:rPr>
              <w:t xml:space="preserve">validate.R</w:t>
            </w:r>
          </w:p>
        </w:tc>
        <w:tc>
          <w:tcPr/>
          <w:p>
            <w:pPr>
              <w:pStyle w:val="Compact"/>
            </w:pPr>
            <w:r>
              <w:t xml:space="preserve">closed-form and numerical-integration validation oracle</w:t>
            </w:r>
          </w:p>
        </w:tc>
      </w:tr>
      <w:tr>
        <w:tc>
          <w:tcPr/>
          <w:p>
            <w:pPr>
              <w:pStyle w:val="Compact"/>
            </w:pPr>
            <w:r>
              <w:rPr>
                <w:rStyle w:val="VerbatimChar"/>
              </w:rPr>
              <w:t xml:space="preserve">pipeline.R</w:t>
            </w:r>
          </w:p>
        </w:tc>
        <w:tc>
          <w:tcPr/>
          <w:p>
            <w:pPr>
              <w:pStyle w:val="Compact"/>
            </w:pPr>
            <w:r>
              <w:t xml:space="preserve">tie the modules together (</w:t>
            </w:r>
            <w:r>
              <w:rPr>
                <w:rStyle w:val="VerbatimChar"/>
              </w:rPr>
              <w:t xml:space="preserve">fit_models</w:t>
            </w:r>
            <w:r>
              <w:t xml:space="preserve">,</w:t>
            </w:r>
            <w:r>
              <w:t xml:space="preserve"> </w:t>
            </w:r>
            <w:r>
              <w:rPr>
                <w:rStyle w:val="VerbatimChar"/>
              </w:rPr>
              <w:t xml:space="preserve">price_models</w:t>
            </w:r>
            <w:r>
              <w:t xml:space="preserve">,</w:t>
            </w:r>
            <w:r>
              <w:t xml:space="preserve"> </w:t>
            </w:r>
            <w:r>
              <w:rPr>
                <w:rStyle w:val="VerbatimChar"/>
              </w:rPr>
              <w:t xml:space="preserve">run_pricing</w:t>
            </w:r>
            <w:r>
              <w:t xml:space="preserve">)</w:t>
            </w:r>
          </w:p>
        </w:tc>
      </w:tr>
      <w:tr>
        <w:tc>
          <w:tcPr/>
          <w:p>
            <w:pPr>
              <w:pStyle w:val="Compact"/>
            </w:pPr>
            <w:r>
              <w:rPr>
                <w:rStyle w:val="VerbatimChar"/>
              </w:rPr>
              <w:t xml:space="preserve">app.R</w:t>
            </w:r>
          </w:p>
        </w:tc>
        <w:tc>
          <w:tcPr/>
          <w:p>
            <w:pPr>
              <w:pStyle w:val="Compact"/>
            </w:pPr>
            <w:r>
              <w:t xml:space="preserve">the Shiny dashboard</w:t>
            </w:r>
          </w:p>
        </w:tc>
      </w:tr>
    </w:tbl>
    <w:p>
      <w:pPr>
        <w:pStyle w:val="BodyText"/>
      </w:pPr>
      <w:r>
        <w:t xml:space="preserve">Two design points worth noting:</w:t>
      </w:r>
    </w:p>
    <w:p>
      <w:pPr>
        <w:pStyle w:val="Compact"/>
        <w:numPr>
          <w:ilvl w:val="0"/>
          <w:numId w:val="1006"/>
        </w:numPr>
      </w:pPr>
      <w:r>
        <w:rPr>
          <w:b/>
          <w:bCs/>
        </w:rPr>
        <w:t xml:space="preserve">The fit is separated from the simulation.</w:t>
      </w:r>
      <w:r>
        <w:t xml:space="preserve"> </w:t>
      </w:r>
      <w:r>
        <w:rPr>
          <w:rStyle w:val="VerbatimChar"/>
        </w:rPr>
        <w:t xml:space="preserve">fit_models</w:t>
      </w:r>
      <w:r>
        <w:t xml:space="preserve"> </w:t>
      </w:r>
      <w:r>
        <w:t xml:space="preserve">is fast and runs</w:t>
      </w:r>
      <w:r>
        <w:t xml:space="preserve"> </w:t>
      </w:r>
      <w:r>
        <w:t xml:space="preserve">live in the dashboard as you move the thresholds, while</w:t>
      </w:r>
      <w:r>
        <w:t xml:space="preserve"> </w:t>
      </w:r>
      <w:r>
        <w:rPr>
          <w:rStyle w:val="VerbatimChar"/>
        </w:rPr>
        <w:t xml:space="preserve">price_models</w:t>
      </w:r>
      <w:r>
        <w:t xml:space="preserve"> </w:t>
      </w:r>
      <w:r>
        <w:t xml:space="preserve">runs</w:t>
      </w:r>
      <w:r>
        <w:t xml:space="preserve"> </w:t>
      </w:r>
      <w:r>
        <w:t xml:space="preserve">the expensive Monte Carlo only when you press Run.</w:t>
      </w:r>
    </w:p>
    <w:p>
      <w:pPr>
        <w:pStyle w:val="Compact"/>
        <w:numPr>
          <w:ilvl w:val="0"/>
          <w:numId w:val="1006"/>
        </w:numPr>
      </w:pPr>
      <w:r>
        <w:rPr>
          <w:b/>
          <w:bCs/>
        </w:rPr>
        <w:t xml:space="preserve">The dashboard owns the contract.</w:t>
      </w:r>
      <w:r>
        <w:t xml:space="preserve"> </w:t>
      </w:r>
      <w:r>
        <w:t xml:space="preserve">The program of layers lives in the</w:t>
      </w:r>
      <w:r>
        <w:t xml:space="preserve"> </w:t>
      </w:r>
      <w:r>
        <w:t xml:space="preserve">dashboard, keyed by a stable id so adding or removing a layer never disturbs</w:t>
      </w:r>
      <w:r>
        <w:t xml:space="preserve"> </w:t>
      </w:r>
      <w:r>
        <w:t xml:space="preserve">the others. The headless</w:t>
      </w:r>
      <w:r>
        <w:t xml:space="preserve"> </w:t>
      </w:r>
      <w:r>
        <w:rPr>
          <w:rStyle w:val="VerbatimChar"/>
        </w:rPr>
        <w:t xml:space="preserve">run_pricing</w:t>
      </w:r>
      <w:r>
        <w:t xml:space="preserve"> </w:t>
      </w:r>
      <w:r>
        <w:t xml:space="preserve">path takes the same structure as an</w:t>
      </w:r>
      <w:r>
        <w:t xml:space="preserve"> </w:t>
      </w:r>
      <w:r>
        <w:t xml:space="preserve">argument, defaulting to the built-in demo program.</w:t>
      </w:r>
    </w:p>
    <w:p>
      <w:pPr>
        <w:pStyle w:val="FirstParagraph"/>
      </w:pPr>
      <w:r>
        <w:t xml:space="preserve">The dashboard also manages its own lifecycle: it counts connected browser</w:t>
      </w:r>
      <w:r>
        <w:t xml:space="preserve"> </w:t>
      </w:r>
      <w:r>
        <w:t xml:space="preserve">sessions and shuts the tool down a few seconds after the last tab closes (a</w:t>
      </w:r>
      <w:r>
        <w:t xml:space="preserve"> </w:t>
      </w:r>
      <w:r>
        <w:t xml:space="preserve">short grace period tolerates a page refresh), and the most recent upload is kept</w:t>
      </w:r>
      <w:r>
        <w:t xml:space="preserve"> </w:t>
      </w:r>
      <w:r>
        <w:t xml:space="preserve">in a process-level store so a refresh does not lose the data.</w:t>
      </w:r>
    </w:p>
    <w:p>
      <w:r>
        <w:pict>
          <v:rect style="width:0;height:1.5pt" o:hralign="center" o:hrstd="t" o:hr="t"/>
        </w:pict>
      </w:r>
    </w:p>
    <w:bookmarkEnd w:id="29"/>
    <w:bookmarkEnd w:id="30"/>
    <w:bookmarkStart w:id="38" w:name="part-2-actuarial-methodology"/>
    <w:p>
      <w:pPr>
        <w:pStyle w:val="Heading1"/>
      </w:pPr>
      <w:r>
        <w:t xml:space="preserve">Part 2: Actuarial methodology</w:t>
      </w:r>
    </w:p>
    <w:p>
      <w:pPr>
        <w:pStyle w:val="FirstParagraph"/>
      </w:pPr>
      <w:r>
        <w:t xml:space="preserve">This part explains the models that are fitted and how the simulation turns them</w:t>
      </w:r>
      <w:r>
        <w:t xml:space="preserve"> </w:t>
      </w:r>
      <w:r>
        <w:t xml:space="preserve">into a price. Throughout,</w:t>
      </w:r>
      <w:r>
        <w:t xml:space="preserve"> </w:t>
      </w:r>
      <m:oMath>
        <m:r>
          <m:t>X</m:t>
        </m:r>
      </m:oMath>
      <w:r>
        <w:t xml:space="preserve"> </w:t>
      </w:r>
      <w:r>
        <w:t xml:space="preserve">denotes the size of a single loss and</w:t>
      </w:r>
      <w:r>
        <w:t xml:space="preserve"> </w:t>
      </w:r>
      <m:oMath>
        <m:r>
          <m:t>N</m:t>
        </m:r>
      </m:oMath>
      <w:r>
        <w:t xml:space="preserve"> </w:t>
      </w:r>
      <w:r>
        <w:t xml:space="preserve">the</w:t>
      </w:r>
      <w:r>
        <w:t xml:space="preserve"> </w:t>
      </w:r>
      <w:r>
        <w:t xml:space="preserve">number of losses in a year.</w:t>
      </w:r>
    </w:p>
    <w:bookmarkStart w:id="31" w:name="pre-processing-indexation-and-exposure"/>
    <w:p>
      <w:pPr>
        <w:pStyle w:val="Heading2"/>
      </w:pPr>
      <w:r>
        <w:t xml:space="preserve">Pre-processing: indexation and exposure</w:t>
      </w:r>
    </w:p>
    <w:p>
      <w:pPr>
        <w:pStyle w:val="FirstParagraph"/>
      </w:pPr>
      <w:r>
        <w:t xml:space="preserve">Historical losses cannot be used as they are: they happened in different years,</w:t>
      </w:r>
      <w:r>
        <w:t xml:space="preserve"> </w:t>
      </w:r>
      <w:r>
        <w:t xml:space="preserve">under different price levels and different book sizes. Two adjustments revalue</w:t>
      </w:r>
      <w:r>
        <w:t xml:space="preserve"> </w:t>
      </w:r>
      <w:r>
        <w:t xml:space="preserve">each loss to the valuation year.</w:t>
      </w:r>
    </w:p>
    <w:p>
      <w:pPr>
        <w:pStyle w:val="BodyText"/>
      </w:pPr>
      <w:r>
        <w:rPr>
          <w:b/>
          <w:bCs/>
        </w:rPr>
        <w:t xml:space="preserve">Loss inflation (indexation).</w:t>
      </w:r>
      <w:r>
        <w:t xml:space="preserve"> </w:t>
      </w:r>
      <w:r>
        <w:t xml:space="preserve">A loss is in money of its own year, so to</w:t>
      </w:r>
      <w:r>
        <w:t xml:space="preserve"> </w:t>
      </w:r>
      <w:r>
        <w:t xml:space="preserve">restate it in valuation-year money we compound the inflation rates of the years</w:t>
      </w:r>
      <w:r>
        <w:t xml:space="preserve"> </w:t>
      </w:r>
      <w:r>
        <w:rPr>
          <w:i/>
          <w:iCs/>
        </w:rPr>
        <w:t xml:space="preserve">after</w:t>
      </w:r>
      <w:r>
        <w:t xml:space="preserve"> </w:t>
      </w:r>
      <w:r>
        <w:t xml:space="preserve">it:</w:t>
      </w:r>
    </w:p>
    <w:p>
      <w:pPr>
        <w:pStyle w:val="BodyText"/>
      </w:pPr>
      <m:oMathPara>
        <m:oMathParaPr>
          <m:jc m:val="center"/>
        </m:oMathParaPr>
        <m:oMath>
          <m:sSubSup>
            <m:e>
              <m:r>
                <m:t>f</m:t>
              </m:r>
            </m:e>
            <m:sub>
              <m:r>
                <m:t>y</m:t>
              </m:r>
            </m:sub>
            <m:sup>
              <m:r>
                <m:t>i</m:t>
              </m:r>
              <m:r>
                <m:t>n</m:t>
              </m:r>
              <m:r>
                <m:t>f</m:t>
              </m:r>
              <m:r>
                <m:t>l</m:t>
              </m:r>
            </m:sup>
          </m:sSubSup>
          <m:r>
            <m:rPr>
              <m:sty m:val="p"/>
            </m:rPr>
            <m:t>=</m:t>
          </m:r>
          <m:nary>
            <m:naryPr>
              <m:chr m:val="∏"/>
              <m:limLoc m:val="undOvr"/>
              <m:subHide m:val="off"/>
              <m:supHide m:val="off"/>
            </m:naryPr>
            <m:sub>
              <m:r>
                <m:t>t</m:t>
              </m:r>
              <m:r>
                <m:rPr>
                  <m:sty m:val="p"/>
                </m:rPr>
                <m:t>=</m:t>
              </m:r>
              <m:r>
                <m:t>y</m:t>
              </m:r>
              <m:r>
                <m:rPr>
                  <m:sty m:val="p"/>
                </m:rPr>
                <m:t>+</m:t>
              </m:r>
              <m:r>
                <m:t>1</m:t>
              </m:r>
            </m:sub>
            <m:sup>
              <m:r>
                <m:t>V</m:t>
              </m:r>
            </m:sup>
            <m:e>
              <m:d>
                <m:dPr>
                  <m:begChr m:val="("/>
                  <m:sepChr m:val=""/>
                  <m:endChr m:val=")"/>
                  <m:grow/>
                </m:dPr>
                <m:e>
                  <m:r>
                    <m:t>1</m:t>
                  </m:r>
                  <m:r>
                    <m:rPr>
                      <m:sty m:val="p"/>
                    </m:rPr>
                    <m:t>+</m:t>
                  </m:r>
                  <m:sSub>
                    <m:e>
                      <m:r>
                        <m:t>r</m:t>
                      </m:r>
                    </m:e>
                    <m:sub>
                      <m:r>
                        <m:t>t</m:t>
                      </m:r>
                    </m:sub>
                  </m:sSub>
                </m:e>
              </m:d>
            </m:e>
          </m:nary>
        </m:oMath>
      </m:oMathPara>
    </w:p>
    <w:p>
      <w:pPr>
        <w:pStyle w:val="FirstParagraph"/>
      </w:pPr>
      <w:r>
        <w:t xml:space="preserve">where</w:t>
      </w:r>
      <w:r>
        <w:t xml:space="preserve"> </w:t>
      </w:r>
      <m:oMath>
        <m:r>
          <m:t>y</m:t>
        </m:r>
      </m:oMath>
      <w:r>
        <w:t xml:space="preserve"> </w:t>
      </w:r>
      <w:r>
        <w:t xml:space="preserve">is the loss year,</w:t>
      </w:r>
      <w:r>
        <w:t xml:space="preserve"> </w:t>
      </w:r>
      <m:oMath>
        <m:r>
          <m:t>V</m:t>
        </m:r>
      </m:oMath>
      <w:r>
        <w:t xml:space="preserve"> </w:t>
      </w:r>
      <w:r>
        <w:t xml:space="preserve">is the valuation year and</w:t>
      </w:r>
      <w:r>
        <w:t xml:space="preserve"> </w:t>
      </w:r>
      <m:oMath>
        <m:sSub>
          <m:e>
            <m:r>
              <m:t>r</m:t>
            </m:r>
          </m:e>
          <m:sub>
            <m:r>
              <m:t>t</m:t>
            </m:r>
          </m:sub>
        </m:sSub>
      </m:oMath>
      <w:r>
        <w:t xml:space="preserve"> </w:t>
      </w:r>
      <w:r>
        <w:t xml:space="preserve">is the inflation</w:t>
      </w:r>
      <w:r>
        <w:t xml:space="preserve"> </w:t>
      </w:r>
      <w:r>
        <w:t xml:space="preserve">rate for year</w:t>
      </w:r>
      <w:r>
        <w:t xml:space="preserve"> </w:t>
      </w:r>
      <m:oMath>
        <m:r>
          <m:t>t</m:t>
        </m:r>
      </m:oMath>
      <w:r>
        <w:t xml:space="preserve">. If the valuation year is earlier than the loss year the same</w:t>
      </w:r>
      <w:r>
        <w:t xml:space="preserve"> </w:t>
      </w:r>
      <w:r>
        <w:t xml:space="preserve">product deflates instead (the factor is inverted). This is</w:t>
      </w:r>
      <w:r>
        <w:t xml:space="preserve"> </w:t>
      </w:r>
      <w:r>
        <w:rPr>
          <w:rStyle w:val="VerbatimChar"/>
        </w:rPr>
        <w:t xml:space="preserve">inflation_factor</w:t>
      </w:r>
      <w:r>
        <w:t xml:space="preserve"> </w:t>
      </w:r>
      <w:r>
        <w:t xml:space="preserve">in</w:t>
      </w:r>
      <w:r>
        <w:t xml:space="preserve"> </w:t>
      </w:r>
      <w:r>
        <w:rPr>
          <w:rStyle w:val="VerbatimChar"/>
        </w:rPr>
        <w:t xml:space="preserve">preprocess.R</w:t>
      </w:r>
      <w:r>
        <w:t xml:space="preserve">.</w:t>
      </w:r>
    </w:p>
    <w:p>
      <w:pPr>
        <w:pStyle w:val="BodyText"/>
      </w:pPr>
      <w:r>
        <w:rPr>
          <w:b/>
          <w:bCs/>
        </w:rPr>
        <w:t xml:space="preserve">Exposure correction (on-levelling).</w:t>
      </w:r>
      <w:r>
        <w:t xml:space="preserve"> </w:t>
      </w:r>
      <w:r>
        <w:t xml:space="preserve">The size of a loss is also scaled by how</w:t>
      </w:r>
      <w:r>
        <w:t xml:space="preserve"> </w:t>
      </w:r>
      <w:r>
        <w:t xml:space="preserve">the book grew or shrank between the loss year and the valuation year:</w:t>
      </w:r>
    </w:p>
    <w:p>
      <w:pPr>
        <w:pStyle w:val="BodyText"/>
      </w:pPr>
      <m:oMathPara>
        <m:oMathParaPr>
          <m:jc m:val="center"/>
        </m:oMathParaPr>
        <m:oMath>
          <m:sSubSup>
            <m:e>
              <m:r>
                <m:t>f</m:t>
              </m:r>
            </m:e>
            <m:sub>
              <m:r>
                <m:t>y</m:t>
              </m:r>
            </m:sub>
            <m:sup>
              <m:r>
                <m:t>e</m:t>
              </m:r>
              <m:r>
                <m:t>x</m:t>
              </m:r>
              <m:r>
                <m:t>p</m:t>
              </m:r>
              <m:r>
                <m:t>o</m:t>
              </m:r>
            </m:sup>
          </m:sSubSup>
          <m:r>
            <m:rPr>
              <m:sty m:val="p"/>
            </m:rPr>
            <m:t>=</m:t>
          </m:r>
          <m:f>
            <m:fPr>
              <m:type m:val="bar"/>
            </m:fPr>
            <m:num>
              <m:sSub>
                <m:e>
                  <m:r>
                    <m:t>E</m:t>
                  </m:r>
                </m:e>
                <m:sub>
                  <m:r>
                    <m:t>V</m:t>
                  </m:r>
                </m:sub>
              </m:sSub>
            </m:num>
            <m:den>
              <m:sSub>
                <m:e>
                  <m:r>
                    <m:t>E</m:t>
                  </m:r>
                </m:e>
                <m:sub>
                  <m:r>
                    <m:t>y</m:t>
                  </m:r>
                </m:sub>
              </m:sSub>
            </m:den>
          </m:f>
        </m:oMath>
      </m:oMathPara>
    </w:p>
    <w:p>
      <w:pPr>
        <w:pStyle w:val="FirstParagraph"/>
      </w:pPr>
      <w:r>
        <w:t xml:space="preserve">where</w:t>
      </w:r>
      <w:r>
        <w:t xml:space="preserve"> </w:t>
      </w:r>
      <m:oMath>
        <m:sSub>
          <m:e>
            <m:r>
              <m:t>E</m:t>
            </m:r>
          </m:e>
          <m:sub>
            <m:r>
              <m:t>y</m:t>
            </m:r>
          </m:sub>
        </m:sSub>
      </m:oMath>
      <w:r>
        <w:t xml:space="preserve"> </w:t>
      </w:r>
      <w:r>
        <w:t xml:space="preserve">is the exposure in year</w:t>
      </w:r>
      <w:r>
        <w:t xml:space="preserve"> </w:t>
      </w:r>
      <m:oMath>
        <m:r>
          <m:t>y</m:t>
        </m:r>
      </m:oMath>
      <w:r>
        <w:t xml:space="preserve">. This is</w:t>
      </w:r>
      <w:r>
        <w:t xml:space="preserve"> </w:t>
      </w:r>
      <w:r>
        <w:rPr>
          <w:rStyle w:val="VerbatimChar"/>
        </w:rPr>
        <w:t xml:space="preserve">exposure_factor</w:t>
      </w:r>
      <w:r>
        <w:t xml:space="preserve">.</w:t>
      </w:r>
    </w:p>
    <w:p>
      <w:pPr>
        <w:pStyle w:val="BodyText"/>
      </w:pPr>
      <w:r>
        <w:t xml:space="preserve">The indexed loss used everywhere downstream is therefore</w:t>
      </w:r>
    </w:p>
    <w:p>
      <w:pPr>
        <w:pStyle w:val="BodyText"/>
      </w:pPr>
      <m:oMathPara>
        <m:oMathParaPr>
          <m:jc m:val="center"/>
        </m:oMathParaPr>
        <m:oMath>
          <m:sSup>
            <m:e>
              <m:r>
                <m:t>X</m:t>
              </m:r>
            </m:e>
            <m:sup>
              <m:r>
                <m:t>i</m:t>
              </m:r>
              <m:r>
                <m:t>n</m:t>
              </m:r>
              <m:r>
                <m:t>d</m:t>
              </m:r>
              <m:r>
                <m:t>e</m:t>
              </m:r>
              <m:r>
                <m:t>x</m:t>
              </m:r>
              <m:r>
                <m:t>e</m:t>
              </m:r>
              <m:r>
                <m:t>d</m:t>
              </m:r>
            </m:sup>
          </m:sSup>
          <m:r>
            <m:rPr>
              <m:sty m:val="p"/>
            </m:rPr>
            <m:t>=</m:t>
          </m:r>
          <m:r>
            <m:t>X</m:t>
          </m:r>
          <m:r>
            <m:rPr>
              <m:sty m:val="p"/>
            </m:rPr>
            <m:t>⋅</m:t>
          </m:r>
          <m:sSubSup>
            <m:e>
              <m:r>
                <m:t>f</m:t>
              </m:r>
            </m:e>
            <m:sub>
              <m:r>
                <m:t>y</m:t>
              </m:r>
            </m:sub>
            <m:sup>
              <m:r>
                <m:t>i</m:t>
              </m:r>
              <m:r>
                <m:t>n</m:t>
              </m:r>
              <m:r>
                <m:t>f</m:t>
              </m:r>
              <m:r>
                <m:t>l</m:t>
              </m:r>
            </m:sup>
          </m:sSubSup>
          <m:r>
            <m:rPr>
              <m:sty m:val="p"/>
            </m:rPr>
            <m:t>⋅</m:t>
          </m:r>
          <m:sSubSup>
            <m:e>
              <m:r>
                <m:t>f</m:t>
              </m:r>
            </m:e>
            <m:sub>
              <m:r>
                <m:t>y</m:t>
              </m:r>
            </m:sub>
            <m:sup>
              <m:r>
                <m:t>e</m:t>
              </m:r>
              <m:r>
                <m:t>x</m:t>
              </m:r>
              <m:r>
                <m:t>p</m:t>
              </m:r>
              <m:r>
                <m:t>o</m:t>
              </m:r>
            </m:sup>
          </m:sSubSup>
          <m:r>
            <m:rPr>
              <m:sty m:val="p"/>
            </m:rPr>
            <m:t>.</m:t>
          </m:r>
        </m:oMath>
      </m:oMathPara>
    </w:p>
    <w:p>
      <w:pPr>
        <w:pStyle w:val="FirstParagraph"/>
      </w:pPr>
      <w:r>
        <w:rPr>
          <w:b/>
          <w:bCs/>
        </w:rPr>
        <w:t xml:space="preserve">Exposure and frequency.</w:t>
      </w:r>
      <w:r>
        <w:t xml:space="preserve"> </w:t>
      </w:r>
      <w:r>
        <w:t xml:space="preserve">Exposure plays a second, separate role. A larger</w:t>
      </w:r>
      <w:r>
        <w:t xml:space="preserve"> </w:t>
      </w:r>
      <w:r>
        <w:t xml:space="preserve">prospective book is expected to produce proportionally more claims, so the</w:t>
      </w:r>
      <w:r>
        <w:t xml:space="preserve"> </w:t>
      </w:r>
      <w:r>
        <w:t xml:space="preserve">fitted frequency is scaled by the forward book size relative to the average book</w:t>
      </w:r>
      <w:r>
        <w:t xml:space="preserve"> </w:t>
      </w:r>
      <w:r>
        <w:t xml:space="preserve">size over the observed years:</w:t>
      </w:r>
    </w:p>
    <w:p>
      <w:pPr>
        <w:pStyle w:val="BodyText"/>
      </w:pPr>
      <m:oMathPara>
        <m:oMathParaPr>
          <m:jc m:val="center"/>
        </m:oMathParaPr>
        <m:oMath>
          <m:sSup>
            <m:e>
              <m:r>
                <m:t>f</m:t>
              </m:r>
            </m:e>
            <m:sup>
              <m:r>
                <m:t>f</m:t>
              </m:r>
              <m:r>
                <m:t>r</m:t>
              </m:r>
              <m:r>
                <m:t>e</m:t>
              </m:r>
              <m:r>
                <m:t>q</m:t>
              </m:r>
            </m:sup>
          </m:sSup>
          <m:r>
            <m:rPr>
              <m:sty m:val="p"/>
            </m:rPr>
            <m:t>=</m:t>
          </m:r>
          <m:f>
            <m:fPr>
              <m:type m:val="bar"/>
            </m:fPr>
            <m:num>
              <m:sSub>
                <m:e>
                  <m:r>
                    <m:t>E</m:t>
                  </m:r>
                </m:e>
                <m:sub>
                  <m:r>
                    <m:t>V</m:t>
                  </m:r>
                </m:sub>
              </m:sSub>
            </m:num>
            <m:den>
              <m:f>
                <m:fPr>
                  <m:type m:val="bar"/>
                </m:fPr>
                <m:num>
                  <m:r>
                    <m:t>1</m:t>
                  </m:r>
                </m:num>
                <m:den>
                  <m:r>
                    <m:t>n</m:t>
                  </m:r>
                </m:den>
              </m:f>
              <m:nary>
                <m:naryPr>
                  <m:chr m:val="∑"/>
                  <m:limLoc m:val="undOvr"/>
                  <m:subHide m:val="off"/>
                  <m:supHide m:val="on"/>
                </m:naryPr>
                <m:sub>
                  <m:r>
                    <m:t>y</m:t>
                  </m:r>
                  <m:r>
                    <m:rPr>
                      <m:sty m:val="p"/>
                    </m:rPr>
                    <m:t>∈</m:t>
                  </m:r>
                  <m:r>
                    <m:rPr>
                      <m:nor/>
                      <m:sty m:val="p"/>
                    </m:rPr>
                    <m:t>obs</m:t>
                  </m:r>
                </m:sub>
                <m:sup>
                  <m:r>
                    <m:t>​</m:t>
                  </m:r>
                </m:sup>
                <m:e>
                  <m:sSub>
                    <m:e>
                      <m:r>
                        <m:t>E</m:t>
                      </m:r>
                    </m:e>
                    <m:sub>
                      <m:r>
                        <m:t>y</m:t>
                      </m:r>
                    </m:sub>
                  </m:sSub>
                </m:e>
              </m:nary>
            </m:den>
          </m:f>
          <m:r>
            <m:rPr>
              <m:sty m:val="p"/>
            </m:rPr>
            <m:t>.</m:t>
          </m:r>
        </m:oMath>
      </m:oMathPara>
    </w:p>
    <w:p>
      <w:pPr>
        <w:pStyle w:val="FirstParagraph"/>
      </w:pPr>
      <w:r>
        <w:t xml:space="preserve">This is</w:t>
      </w:r>
      <w:r>
        <w:t xml:space="preserve"> </w:t>
      </w:r>
      <w:r>
        <w:rPr>
          <w:rStyle w:val="VerbatimChar"/>
        </w:rPr>
        <w:t xml:space="preserve">exposure_frequency_factor</w:t>
      </w:r>
      <w:r>
        <w:t xml:space="preserve">. When exposure is flat this factor is 1 and</w:t>
      </w:r>
      <w:r>
        <w:t xml:space="preserve"> </w:t>
      </w:r>
      <w:r>
        <w:t xml:space="preserve">nothing changes; a book that doubles roughly doubles the expected number of</w:t>
      </w:r>
      <w:r>
        <w:t xml:space="preserve"> </w:t>
      </w:r>
      <w:r>
        <w:t xml:space="preserve">claims. (The dashboard’s information panels now explain both of these exposure</w:t>
      </w:r>
      <w:r>
        <w:t xml:space="preserve"> </w:t>
      </w:r>
      <w:r>
        <w:t xml:space="preserve">roles to the user.)</w:t>
      </w:r>
    </w:p>
    <w:bookmarkEnd w:id="31"/>
    <w:bookmarkStart w:id="32" w:name="frequency-model"/>
    <w:p>
      <w:pPr>
        <w:pStyle w:val="Heading2"/>
      </w:pPr>
      <w:r>
        <w:t xml:space="preserve">Frequency model</w:t>
      </w:r>
    </w:p>
    <w:p>
      <w:pPr>
        <w:pStyle w:val="FirstParagraph"/>
      </w:pPr>
      <w:r>
        <w:t xml:space="preserve">The frequency is calibrated from the annual counts of losses</w:t>
      </w:r>
      <w:r>
        <w:t xml:space="preserve"> </w:t>
      </w:r>
      <w:r>
        <w:rPr>
          <w:b/>
          <w:bCs/>
        </w:rPr>
        <w:t xml:space="preserve">above the</w:t>
      </w:r>
      <w:r>
        <w:rPr>
          <w:b/>
          <w:bCs/>
        </w:rPr>
        <w:t xml:space="preserve"> </w:t>
      </w:r>
      <w:r>
        <w:rPr>
          <w:b/>
          <w:bCs/>
        </w:rPr>
        <w:t xml:space="preserve">modelling threshold</w:t>
      </w:r>
      <w:r>
        <w:t xml:space="preserve"> </w:t>
      </w:r>
      <w:r>
        <w:t xml:space="preserve">(the same conditioning used for the severity, so the two</w:t>
      </w:r>
      <w:r>
        <w:t xml:space="preserve"> </w:t>
      </w:r>
      <w:r>
        <w:t xml:space="preserve">are coherent). The user can choose one of three distributions; Poisson is the</w:t>
      </w:r>
      <w:r>
        <w:t xml:space="preserve"> </w:t>
      </w:r>
      <w:r>
        <w:t xml:space="preserve">principled default because reinsurance data is usually too sparse to select a</w:t>
      </w:r>
      <w:r>
        <w:t xml:space="preserve"> </w:t>
      </w:r>
      <w:r>
        <w:t xml:space="preserve">distribution class from the data alone.</w:t>
      </w:r>
    </w:p>
    <w:p>
      <w:pPr>
        <w:pStyle w:val="BodyText"/>
      </w:pPr>
      <w:r>
        <w:t xml:space="preserve">Let</w:t>
      </w:r>
      <w:r>
        <w:t xml:space="preserve"> </w:t>
      </w:r>
      <m:oMath>
        <m:r>
          <m:t>m</m:t>
        </m:r>
      </m:oMath>
      <w:r>
        <w:t xml:space="preserve"> </w:t>
      </w:r>
      <w:r>
        <w:t xml:space="preserve">be the mean and</w:t>
      </w:r>
      <w:r>
        <w:t xml:space="preserve"> </w:t>
      </w:r>
      <m:oMath>
        <m:r>
          <m:t>v</m:t>
        </m:r>
      </m:oMath>
      <w:r>
        <w:t xml:space="preserve"> </w:t>
      </w:r>
      <w:r>
        <w:t xml:space="preserve">the variance of the annual counts.</w:t>
      </w:r>
    </w:p>
    <w:p>
      <w:pPr>
        <w:pStyle w:val="Compact"/>
        <w:numPr>
          <w:ilvl w:val="0"/>
          <w:numId w:val="1007"/>
        </w:numPr>
      </w:pPr>
      <w:r>
        <w:rPr>
          <w:b/>
          <w:bCs/>
        </w:rPr>
        <w:t xml:space="preserve">Poisson.</w:t>
      </w:r>
      <w:r>
        <w:t xml:space="preserve"> </w:t>
      </w:r>
      <m:oMath>
        <m:acc>
          <m:accPr>
            <m:chr m:val="̂"/>
          </m:accPr>
          <m:e>
            <m:r>
              <m:t>λ</m:t>
            </m:r>
          </m:e>
        </m:acc>
        <m:r>
          <m:rPr>
            <m:sty m:val="p"/>
          </m:rPr>
          <m:t>=</m:t>
        </m:r>
        <m:r>
          <m:t>m</m:t>
        </m:r>
      </m:oMath>
      <w:r>
        <w:t xml:space="preserve">.</w:t>
      </w:r>
    </w:p>
    <w:p>
      <w:pPr>
        <w:pStyle w:val="Compact"/>
        <w:numPr>
          <w:ilvl w:val="0"/>
          <w:numId w:val="1007"/>
        </w:numPr>
      </w:pPr>
      <w:r>
        <w:rPr>
          <w:b/>
          <w:bCs/>
        </w:rPr>
        <w:t xml:space="preserve">Negative Binomial</w:t>
      </w:r>
      <w:r>
        <w:t xml:space="preserve"> </w:t>
      </w:r>
      <w:r>
        <w:t xml:space="preserve">(only when</w:t>
      </w:r>
      <w:r>
        <w:t xml:space="preserve"> </w:t>
      </w:r>
      <m:oMath>
        <m:r>
          <m:t>v</m:t>
        </m:r>
        <m:r>
          <m:rPr>
            <m:sty m:val="p"/>
          </m:rPr>
          <m:t>&gt;</m:t>
        </m:r>
        <m:r>
          <m:t>m</m:t>
        </m:r>
      </m:oMath>
      <w:r>
        <w:t xml:space="preserve">, that is, over-dispersion). Method of</w:t>
      </w:r>
      <w:r>
        <w:t xml:space="preserve"> </w:t>
      </w:r>
      <w:r>
        <w:t xml:space="preserve">moments: size</w:t>
      </w:r>
      <w:r>
        <w:t xml:space="preserve"> </w:t>
      </w:r>
      <m:oMath>
        <m:r>
          <m:t>r</m:t>
        </m:r>
        <m:r>
          <m:rPr>
            <m:sty m:val="p"/>
          </m:rPr>
          <m:t>=</m:t>
        </m:r>
        <m:sSup>
          <m:e>
            <m:r>
              <m:t>m</m:t>
            </m:r>
          </m:e>
          <m:sup>
            <m:r>
              <m:t>2</m:t>
            </m:r>
          </m:sup>
        </m:sSup>
        <m:r>
          <m:rPr>
            <m:sty m:val="p"/>
          </m:rPr>
          <m:t>/</m:t>
        </m:r>
        <m:d>
          <m:dPr>
            <m:begChr m:val="("/>
            <m:sepChr m:val=""/>
            <m:endChr m:val=")"/>
            <m:grow/>
          </m:dPr>
          <m:e>
            <m:r>
              <m:t>v</m:t>
            </m:r>
            <m:r>
              <m:rPr>
                <m:sty m:val="p"/>
              </m:rPr>
              <m:t>−</m:t>
            </m:r>
            <m:r>
              <m:t>m</m:t>
            </m:r>
          </m:e>
        </m:d>
      </m:oMath>
      <w:r>
        <w:t xml:space="preserve"> </w:t>
      </w:r>
      <w:r>
        <w:t xml:space="preserve">with mean</w:t>
      </w:r>
      <w:r>
        <w:t xml:space="preserve"> </w:t>
      </w:r>
      <m:oMath>
        <m:r>
          <m:t>μ</m:t>
        </m:r>
        <m:r>
          <m:rPr>
            <m:sty m:val="p"/>
          </m:rPr>
          <m:t>=</m:t>
        </m:r>
        <m:r>
          <m:t>m</m:t>
        </m:r>
      </m:oMath>
      <w:r>
        <w:t xml:space="preserve">.</w:t>
      </w:r>
    </w:p>
    <w:p>
      <w:pPr>
        <w:pStyle w:val="Compact"/>
        <w:numPr>
          <w:ilvl w:val="0"/>
          <w:numId w:val="1007"/>
        </w:numPr>
      </w:pPr>
      <w:r>
        <w:rPr>
          <w:b/>
          <w:bCs/>
        </w:rPr>
        <w:t xml:space="preserve">Binomial</w:t>
      </w:r>
      <w:r>
        <w:t xml:space="preserve"> </w:t>
      </w:r>
      <w:r>
        <w:t xml:space="preserve">(only when</w:t>
      </w:r>
      <w:r>
        <w:t xml:space="preserve"> </w:t>
      </w:r>
      <m:oMath>
        <m:r>
          <m:t>v</m:t>
        </m:r>
        <m:r>
          <m:rPr>
            <m:sty m:val="p"/>
          </m:rPr>
          <m:t>&lt;</m:t>
        </m:r>
        <m:r>
          <m:t>m</m:t>
        </m:r>
      </m:oMath>
      <w:r>
        <w:t xml:space="preserve">, that is, under-dispersion). Method of moments:</w:t>
      </w:r>
      <w:r>
        <w:t xml:space="preserve"> </w:t>
      </w:r>
      <m:oMath>
        <m:r>
          <m:t>p</m:t>
        </m:r>
        <m:r>
          <m:rPr>
            <m:sty m:val="p"/>
          </m:rPr>
          <m:t>=</m:t>
        </m:r>
        <m:r>
          <m:t>1</m:t>
        </m:r>
        <m:r>
          <m:rPr>
            <m:sty m:val="p"/>
          </m:rPr>
          <m:t>−</m:t>
        </m:r>
        <m:r>
          <m:t>v</m:t>
        </m:r>
        <m:r>
          <m:rPr>
            <m:sty m:val="p"/>
          </m:rPr>
          <m:t>/</m:t>
        </m:r>
        <m:r>
          <m:t>m</m:t>
        </m:r>
      </m:oMath>
      <w:r>
        <w:t xml:space="preserve"> </w:t>
      </w:r>
      <w:r>
        <w:t xml:space="preserve">and number of trials</w:t>
      </w:r>
      <w:r>
        <w:t xml:space="preserve"> </w:t>
      </w:r>
      <m:oMath>
        <m:r>
          <m:t>n</m:t>
        </m:r>
        <m:r>
          <m:rPr>
            <m:sty m:val="p"/>
          </m:rPr>
          <m:t>=</m:t>
        </m:r>
        <m:r>
          <m:rPr>
            <m:sty m:val="p"/>
          </m:rPr>
          <m:t>r</m:t>
        </m:r>
        <m:r>
          <m:rPr>
            <m:sty m:val="p"/>
          </m:rPr>
          <m:t>o</m:t>
        </m:r>
        <m:r>
          <m:rPr>
            <m:sty m:val="p"/>
          </m:rPr>
          <m:t>u</m:t>
        </m:r>
        <m:r>
          <m:rPr>
            <m:sty m:val="p"/>
          </m:rPr>
          <m:t>n</m:t>
        </m:r>
        <m:r>
          <m:rPr>
            <m:sty m:val="p"/>
          </m:rPr>
          <m:t>d</m:t>
        </m:r>
        <m:d>
          <m:dPr>
            <m:begChr m:val="("/>
            <m:sepChr m:val=""/>
            <m:endChr m:val=")"/>
            <m:grow/>
          </m:dPr>
          <m:e>
            <m:r>
              <m:t>m</m:t>
            </m:r>
            <m:r>
              <m:rPr>
                <m:sty m:val="p"/>
              </m:rPr>
              <m:t>/</m:t>
            </m:r>
            <m:r>
              <m:t>p</m:t>
            </m:r>
          </m:e>
        </m:d>
      </m:oMath>
      <w:r>
        <w:t xml:space="preserve">.</w:t>
      </w:r>
    </w:p>
    <w:p>
      <w:pPr>
        <w:pStyle w:val="FirstParagraph"/>
      </w:pPr>
      <w:r>
        <w:t xml:space="preserve">The fitted mean is then scaled to the prospective book by the frequency factor</w:t>
      </w:r>
      <w:r>
        <w:t xml:space="preserve"> </w:t>
      </w:r>
      <m:oMath>
        <m:sSup>
          <m:e>
            <m:r>
              <m:t>f</m:t>
            </m:r>
          </m:e>
          <m:sup>
            <m:r>
              <m:t>f</m:t>
            </m:r>
            <m:r>
              <m:t>r</m:t>
            </m:r>
            <m:r>
              <m:t>e</m:t>
            </m:r>
            <m:r>
              <m:t>q</m:t>
            </m:r>
          </m:sup>
        </m:sSup>
      </m:oMath>
      <w:r>
        <w:t xml:space="preserve"> </w:t>
      </w:r>
      <w:r>
        <w:t xml:space="preserve">above (</w:t>
      </w:r>
      <w:r>
        <w:rPr>
          <w:rStyle w:val="VerbatimChar"/>
        </w:rPr>
        <w:t xml:space="preserve">scale_frequency</w:t>
      </w:r>
      <w:r>
        <w:t xml:space="preserve">): Poisson and Negative Binomial scale their</w:t>
      </w:r>
      <w:r>
        <w:t xml:space="preserve"> </w:t>
      </w:r>
      <w:r>
        <w:t xml:space="preserve">mean parameter directly, Binomial scales the number of trials.</w:t>
      </w:r>
    </w:p>
    <w:bookmarkEnd w:id="32"/>
    <w:bookmarkStart w:id="33" w:name="Xd353b7801f436a21ecec13840437007e0076671"/>
    <w:p>
      <w:pPr>
        <w:pStyle w:val="Heading2"/>
      </w:pPr>
      <w:r>
        <w:t xml:space="preserve">Severity model: spliced lognormal and Pareto</w:t>
      </w:r>
    </w:p>
    <w:p>
      <w:pPr>
        <w:pStyle w:val="FirstParagraph"/>
      </w:pPr>
      <w:r>
        <w:t xml:space="preserve">The severity is modelled</w:t>
      </w:r>
      <w:r>
        <w:t xml:space="preserve"> </w:t>
      </w:r>
      <w:r>
        <w:rPr>
          <w:b/>
          <w:bCs/>
        </w:rPr>
        <w:t xml:space="preserve">conditional on a loss exceeding the modelling</w:t>
      </w:r>
      <w:r>
        <w:rPr>
          <w:b/>
          <w:bCs/>
        </w:rPr>
        <w:t xml:space="preserve"> </w:t>
      </w:r>
      <w:r>
        <w:rPr>
          <w:b/>
          <w:bCs/>
        </w:rPr>
        <w:t xml:space="preserve">threshold MT</w:t>
      </w:r>
      <w:r>
        <w:t xml:space="preserve">, because only those losses enter the model. Above MT the</w:t>
      </w:r>
      <w:r>
        <w:t xml:space="preserve"> </w:t>
      </w:r>
      <w:r>
        <w:t xml:space="preserve">distribution is spliced at a higher point</w:t>
      </w:r>
      <w:r>
        <w:t xml:space="preserve"> </w:t>
      </w:r>
      <m:oMath>
        <m:r>
          <m:t>s</m:t>
        </m:r>
      </m:oMath>
      <w:r>
        <w:t xml:space="preserve"> </w:t>
      </w:r>
      <w:r>
        <w:t xml:space="preserve">(the splice threshold):</w:t>
      </w:r>
    </w:p>
    <w:p>
      <w:pPr>
        <w:pStyle w:val="Compact"/>
        <w:numPr>
          <w:ilvl w:val="0"/>
          <w:numId w:val="1008"/>
        </w:numPr>
      </w:pPr>
      <w:r>
        <w:rPr>
          <w:b/>
          <w:bCs/>
        </w:rPr>
        <w:t xml:space="preserve">Body, for</w:t>
      </w:r>
      <w:r>
        <w:rPr>
          <w:b/>
          <w:bCs/>
        </w:rPr>
        <w:t xml:space="preserve"> </w:t>
      </w:r>
      <m:oMath>
        <m:r>
          <m:t>M</m:t>
        </m:r>
        <m:r>
          <m:t>T</m:t>
        </m:r>
        <m:r>
          <m:rPr>
            <m:sty m:val="p"/>
          </m:rPr>
          <m:t>&lt;</m:t>
        </m:r>
        <m:r>
          <m:t>X</m:t>
        </m:r>
        <m:r>
          <m:rPr>
            <m:sty m:val="p"/>
          </m:rPr>
          <m:t>≤</m:t>
        </m:r>
        <m:r>
          <m:t>s</m:t>
        </m:r>
      </m:oMath>
      <w:r>
        <w:rPr>
          <w:b/>
          <w:bCs/>
        </w:rPr>
        <w:t xml:space="preserve">:</w:t>
      </w:r>
      <w:r>
        <w:t xml:space="preserve"> </w:t>
      </w:r>
      <w:r>
        <w:t xml:space="preserve">a lognormal</w:t>
      </w:r>
      <m:oMath>
        <m:d>
          <m:dPr>
            <m:begChr m:val="("/>
            <m:sepChr m:val=""/>
            <m:endChr m:val=")"/>
            <m:grow/>
          </m:dPr>
          <m:e>
            <m:r>
              <m:t>μ</m:t>
            </m:r>
            <m:r>
              <m:rPr>
                <m:sty m:val="p"/>
              </m:rPr>
              <m:t>,</m:t>
            </m:r>
            <m:r>
              <m:t>σ</m:t>
            </m:r>
          </m:e>
        </m:d>
      </m:oMath>
      <w:r>
        <w:t xml:space="preserve"> </w:t>
      </w:r>
      <w:r>
        <w:t xml:space="preserve">fitted by maximum</w:t>
      </w:r>
      <w:r>
        <w:t xml:space="preserve"> </w:t>
      </w:r>
      <w:r>
        <w:t xml:space="preserve">likelihood (via</w:t>
      </w:r>
      <w:r>
        <w:t xml:space="preserve"> </w:t>
      </w:r>
      <w:r>
        <w:rPr>
          <w:rStyle w:val="VerbatimChar"/>
        </w:rPr>
        <w:t xml:space="preserve">fitdistrplus</w:t>
      </w:r>
      <w:r>
        <w:t xml:space="preserve">) on the indexed losses in that range, used as a</w:t>
      </w:r>
      <w:r>
        <w:t xml:space="preserve"> </w:t>
      </w:r>
      <w:r>
        <w:t xml:space="preserve">lognormal truncated to</w:t>
      </w:r>
      <w:r>
        <w:t xml:space="preserve"> </w:t>
      </w:r>
      <m:oMath>
        <m:r>
          <m:rPr>
            <m:sty m:val="p"/>
          </m:rPr>
          <m:t>(</m:t>
        </m:r>
        <m:r>
          <m:t>M</m:t>
        </m:r>
        <m:r>
          <m:t>T</m:t>
        </m:r>
        <m:r>
          <m:rPr>
            <m:sty m:val="p"/>
          </m:rPr>
          <m:t>,</m:t>
        </m:r>
        <m:r>
          <m:t>s</m:t>
        </m:r>
        <m:r>
          <m:rPr>
            <m:sty m:val="p"/>
          </m:rPr>
          <m:t>]</m:t>
        </m:r>
      </m:oMath>
      <w:r>
        <w:t xml:space="preserve">.</w:t>
      </w:r>
    </w:p>
    <w:p>
      <w:pPr>
        <w:pStyle w:val="Compact"/>
        <w:numPr>
          <w:ilvl w:val="0"/>
          <w:numId w:val="1008"/>
        </w:numPr>
      </w:pPr>
      <w:r>
        <w:rPr>
          <w:b/>
          <w:bCs/>
        </w:rPr>
        <w:t xml:space="preserve">Tail, for</w:t>
      </w:r>
      <w:r>
        <w:rPr>
          <w:b/>
          <w:bCs/>
        </w:rPr>
        <w:t xml:space="preserve"> </w:t>
      </w:r>
      <m:oMath>
        <m:r>
          <m:t>X</m:t>
        </m:r>
        <m:r>
          <m:rPr>
            <m:sty m:val="p"/>
          </m:rPr>
          <m:t>&gt;</m:t>
        </m:r>
        <m:r>
          <m:t>s</m:t>
        </m:r>
      </m:oMath>
      <w:r>
        <w:rPr>
          <w:b/>
          <w:bCs/>
        </w:rPr>
        <w:t xml:space="preserve">:</w:t>
      </w:r>
      <w:r>
        <w:t xml:space="preserve"> </w:t>
      </w:r>
      <w:r>
        <w:t xml:space="preserve">a Pareto with lower bound</w:t>
      </w:r>
      <w:r>
        <w:t xml:space="preserve"> </w:t>
      </w:r>
      <m:oMath>
        <m:sSub>
          <m:e>
            <m:r>
              <m:t>x</m:t>
            </m:r>
          </m:e>
          <m:sub>
            <m:r>
              <m:t>0</m:t>
            </m:r>
          </m:sub>
        </m:sSub>
        <m:r>
          <m:rPr>
            <m:sty m:val="p"/>
          </m:rPr>
          <m:t>=</m:t>
        </m:r>
        <m:r>
          <m:t>s</m:t>
        </m:r>
      </m:oMath>
      <w:r>
        <w:t xml:space="preserve"> </w:t>
      </w:r>
      <w:r>
        <w:t xml:space="preserve">and shape</w:t>
      </w:r>
      <w:r>
        <w:t xml:space="preserve"> </w:t>
      </w:r>
      <m:oMath>
        <m:r>
          <m:t>α</m:t>
        </m:r>
      </m:oMath>
      <w:r>
        <w:t xml:space="preserve"> </w:t>
      </w:r>
      <w:r>
        <w:t xml:space="preserve">estimated by maximum likelihood:</w:t>
      </w:r>
    </w:p>
    <w:p>
      <w:pPr>
        <w:pStyle w:val="FirstParagraph"/>
      </w:pPr>
      <m:oMathPara>
        <m:oMathParaPr>
          <m:jc m:val="center"/>
        </m:oMathParaPr>
        <m:oMath>
          <m:acc>
            <m:accPr>
              <m:chr m:val="̂"/>
            </m:accPr>
            <m:e>
              <m:r>
                <m:t>α</m:t>
              </m:r>
            </m:e>
          </m:acc>
          <m:r>
            <m:rPr>
              <m:sty m:val="p"/>
            </m:rPr>
            <m:t>=</m:t>
          </m:r>
          <m:f>
            <m:fPr>
              <m:type m:val="bar"/>
            </m:fPr>
            <m:num>
              <m:r>
                <m:t>n</m:t>
              </m:r>
            </m:num>
            <m:den>
              <m:nary>
                <m:naryPr>
                  <m:chr m:val="∑"/>
                  <m:limLoc m:val="undOvr"/>
                  <m:subHide m:val="off"/>
                  <m:supHide m:val="on"/>
                </m:naryPr>
                <m:sub>
                  <m:r>
                    <m:t>i</m:t>
                  </m:r>
                </m:sub>
                <m:sup>
                  <m:r>
                    <m:t>​</m:t>
                  </m:r>
                </m:sup>
                <m:e>
                  <m:r>
                    <m:rPr>
                      <m:sty m:val="p"/>
                    </m:rPr>
                    <m:t>log</m:t>
                  </m:r>
                </m:e>
              </m:nary>
              <m:d>
                <m:dPr>
                  <m:begChr m:val="("/>
                  <m:sepChr m:val=""/>
                  <m:endChr m:val=")"/>
                  <m:grow/>
                </m:dPr>
                <m:e>
                  <m:sSub>
                    <m:e>
                      <m:r>
                        <m:t>x</m:t>
                      </m:r>
                    </m:e>
                    <m:sub>
                      <m:r>
                        <m:t>i</m:t>
                      </m:r>
                    </m:sub>
                  </m:sSub>
                  <m:r>
                    <m:rPr>
                      <m:sty m:val="p"/>
                    </m:rPr>
                    <m:t>/</m:t>
                  </m:r>
                  <m:r>
                    <m:t>s</m:t>
                  </m:r>
                </m:e>
              </m:d>
            </m:den>
          </m:f>
        </m:oMath>
      </m:oMathPara>
    </w:p>
    <w:p>
      <w:pPr>
        <w:pStyle w:val="FirstParagraph"/>
      </w:pPr>
      <w:r>
        <w:t xml:space="preserve">over the losses above</w:t>
      </w:r>
      <w:r>
        <w:t xml:space="preserve"> </w:t>
      </w:r>
      <m:oMath>
        <m:r>
          <m:t>s</m:t>
        </m:r>
      </m:oMath>
      <w:r>
        <w:t xml:space="preserve">.</w:t>
      </w:r>
    </w:p>
    <w:p>
      <w:pPr>
        <w:pStyle w:val="Compact"/>
        <w:numPr>
          <w:ilvl w:val="0"/>
          <w:numId w:val="1009"/>
        </w:numPr>
      </w:pPr>
      <w:r>
        <w:rPr>
          <w:b/>
          <w:bCs/>
        </w:rPr>
        <w:t xml:space="preserve">Tail weight:</w:t>
      </w:r>
      <w:r>
        <w:t xml:space="preserve"> </w:t>
      </w:r>
      <w:r>
        <w:t xml:space="preserve">the empirical probability of being in the tail given a</w:t>
      </w:r>
      <w:r>
        <w:t xml:space="preserve"> </w:t>
      </w:r>
      <w:r>
        <w:t xml:space="preserve">modelled loss,</w:t>
      </w:r>
    </w:p>
    <w:p>
      <w:pPr>
        <w:pStyle w:val="FirstParagraph"/>
      </w:pPr>
      <m:oMathPara>
        <m:oMathParaPr>
          <m:jc m:val="center"/>
        </m:oMathParaPr>
        <m:oMath>
          <m:r>
            <m:t>w</m:t>
          </m:r>
          <m:r>
            <m:rPr>
              <m:sty m:val="p"/>
            </m:rPr>
            <m:t>=</m:t>
          </m:r>
          <m:r>
            <m:t>P</m:t>
          </m:r>
          <m:d>
            <m:dPr>
              <m:begChr m:val="("/>
              <m:sepChr m:val=""/>
              <m:endChr m:val=")"/>
              <m:grow/>
            </m:dPr>
            <m:e>
              <m:r>
                <m:t>X</m:t>
              </m:r>
              <m:r>
                <m:rPr>
                  <m:sty m:val="p"/>
                </m:rPr>
                <m:t>&gt;</m:t>
              </m:r>
              <m:r>
                <m:t>s</m:t>
              </m:r>
              <m:r>
                <m:rPr>
                  <m:sty m:val="p"/>
                </m:rPr>
                <m:t>∣</m:t>
              </m:r>
              <m:r>
                <m:t>X</m:t>
              </m:r>
              <m:r>
                <m:rPr>
                  <m:sty m:val="p"/>
                </m:rPr>
                <m:t>&gt;</m:t>
              </m:r>
              <m:r>
                <m:t>M</m:t>
              </m:r>
              <m:r>
                <m:t>T</m:t>
              </m:r>
            </m:e>
          </m:d>
          <m:r>
            <m:rPr>
              <m:sty m:val="p"/>
            </m:rPr>
            <m:t>=</m:t>
          </m:r>
          <m:f>
            <m:fPr>
              <m:type m:val="bar"/>
            </m:fPr>
            <m:num>
              <m:r>
                <m:rPr>
                  <m:sty m:val="p"/>
                </m:rPr>
                <m:t>#</m:t>
              </m:r>
              <m:r>
                <m:rPr>
                  <m:sty m:val="p"/>
                </m:rPr>
                <m:t>{</m:t>
              </m:r>
              <m:sSub>
                <m:e>
                  <m:r>
                    <m:t>x</m:t>
                  </m:r>
                </m:e>
                <m:sub>
                  <m:r>
                    <m:t>i</m:t>
                  </m:r>
                </m:sub>
              </m:sSub>
              <m:r>
                <m:rPr>
                  <m:sty m:val="p"/>
                </m:rPr>
                <m:t>&gt;</m:t>
              </m:r>
              <m:r>
                <m:t>s</m:t>
              </m:r>
              <m:r>
                <m:rPr>
                  <m:sty m:val="p"/>
                </m:rPr>
                <m:t>}</m:t>
              </m:r>
            </m:num>
            <m:den>
              <m:r>
                <m:rPr>
                  <m:sty m:val="p"/>
                </m:rPr>
                <m:t>#</m:t>
              </m:r>
              <m:r>
                <m:rPr>
                  <m:sty m:val="p"/>
                </m:rPr>
                <m:t>{</m:t>
              </m:r>
              <m:sSub>
                <m:e>
                  <m:r>
                    <m:t>x</m:t>
                  </m:r>
                </m:e>
                <m:sub>
                  <m:r>
                    <m:t>i</m:t>
                  </m:r>
                </m:sub>
              </m:sSub>
              <m:r>
                <m:rPr>
                  <m:sty m:val="p"/>
                </m:rPr>
                <m:t>&gt;</m:t>
              </m:r>
              <m:r>
                <m:t>M</m:t>
              </m:r>
              <m:r>
                <m:t>T</m:t>
              </m:r>
              <m:r>
                <m:rPr>
                  <m:sty m:val="p"/>
                </m:rPr>
                <m:t>}</m:t>
              </m:r>
            </m:den>
          </m:f>
          <m:r>
            <m:rPr>
              <m:sty m:val="p"/>
            </m:rPr>
            <m:t>.</m:t>
          </m:r>
        </m:oMath>
      </m:oMathPara>
    </w:p>
    <w:p>
      <w:pPr>
        <w:pStyle w:val="FirstParagraph"/>
      </w:pPr>
      <w:r>
        <w:t xml:space="preserve">Because the body is weighted by</w:t>
      </w:r>
      <w:r>
        <w:t xml:space="preserve"> </w:t>
      </w:r>
      <m:oMath>
        <m:r>
          <m:t>1</m:t>
        </m:r>
        <m:r>
          <m:rPr>
            <m:sty m:val="p"/>
          </m:rPr>
          <m:t>−</m:t>
        </m:r>
        <m:r>
          <m:t>w</m:t>
        </m:r>
      </m:oMath>
      <w:r>
        <w:t xml:space="preserve"> </w:t>
      </w:r>
      <w:r>
        <w:t xml:space="preserve">and the tail by</w:t>
      </w:r>
      <w:r>
        <w:t xml:space="preserve"> </w:t>
      </w:r>
      <m:oMath>
        <m:r>
          <m:t>w</m:t>
        </m:r>
      </m:oMath>
      <w:r>
        <w:t xml:space="preserve">, with the Pareto</w:t>
      </w:r>
      <w:r>
        <w:t xml:space="preserve"> </w:t>
      </w:r>
      <w:r>
        <w:t xml:space="preserve">anchored at</w:t>
      </w:r>
      <w:r>
        <w:t xml:space="preserve"> </w:t>
      </w:r>
      <m:oMath>
        <m:sSub>
          <m:e>
            <m:r>
              <m:t>x</m:t>
            </m:r>
          </m:e>
          <m:sub>
            <m:r>
              <m:t>0</m:t>
            </m:r>
          </m:sub>
        </m:sSub>
        <m:r>
          <m:rPr>
            <m:sty m:val="p"/>
          </m:rPr>
          <m:t>=</m:t>
        </m:r>
        <m:r>
          <m:t>s</m:t>
        </m:r>
      </m:oMath>
      <w:r>
        <w:t xml:space="preserve">, the conditional mixture is continuous at</w:t>
      </w:r>
      <w:r>
        <w:t xml:space="preserve"> </w:t>
      </w:r>
      <m:oMath>
        <m:r>
          <m:t>s</m:t>
        </m:r>
      </m:oMath>
      <w:r>
        <w:t xml:space="preserve">.</w:t>
      </w:r>
    </w:p>
    <w:p>
      <w:pPr>
        <w:pStyle w:val="BodyText"/>
      </w:pPr>
      <w:r>
        <w:rPr>
          <w:b/>
          <w:bCs/>
        </w:rPr>
        <w:t xml:space="preserve">Conditional survival function</w:t>
      </w:r>
      <w:r>
        <w:t xml:space="preserve"> </w:t>
      </w:r>
      <m:oMath>
        <m:r>
          <m:t>S</m:t>
        </m:r>
        <m:d>
          <m:dPr>
            <m:begChr m:val="("/>
            <m:sepChr m:val=""/>
            <m:endChr m:val=")"/>
            <m:grow/>
          </m:dPr>
          <m:e>
            <m:r>
              <m:t>t</m:t>
            </m:r>
          </m:e>
        </m:d>
        <m:r>
          <m:rPr>
            <m:sty m:val="p"/>
          </m:rPr>
          <m:t>=</m:t>
        </m:r>
        <m:r>
          <m:t>P</m:t>
        </m:r>
        <m:d>
          <m:dPr>
            <m:begChr m:val="("/>
            <m:sepChr m:val=""/>
            <m:endChr m:val=")"/>
            <m:grow/>
          </m:dPr>
          <m:e>
            <m:r>
              <m:t>X</m:t>
            </m:r>
            <m:r>
              <m:rPr>
                <m:sty m:val="p"/>
              </m:rPr>
              <m:t>&gt;</m:t>
            </m:r>
            <m:r>
              <m:t>t</m:t>
            </m:r>
            <m:r>
              <m:rPr>
                <m:sty m:val="p"/>
              </m:rPr>
              <m:t>∣</m:t>
            </m:r>
            <m:r>
              <m:t>X</m:t>
            </m:r>
            <m:r>
              <m:rPr>
                <m:sty m:val="p"/>
              </m:rPr>
              <m:t>&gt;</m:t>
            </m:r>
            <m:r>
              <m:t>M</m:t>
            </m:r>
            <m:r>
              <m:t>T</m:t>
            </m:r>
          </m:e>
        </m:d>
      </m:oMath>
      <w:r>
        <w:t xml:space="preserve">, used both for</w:t>
      </w:r>
      <w:r>
        <w:t xml:space="preserve"> </w:t>
      </w:r>
      <w:r>
        <w:t xml:space="preserve">sampling intuition and directly by the validation oracle:</w:t>
      </w:r>
    </w:p>
    <w:p>
      <w:pPr>
        <w:pStyle w:val="BodyText"/>
      </w:pPr>
      <m:oMathPara>
        <m:oMathParaPr>
          <m:jc m:val="center"/>
        </m:oMathParaPr>
        <m:oMath>
          <m:r>
            <m:t>S</m:t>
          </m:r>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t>t</m:t>
                    </m:r>
                    <m:r>
                      <m:rPr>
                        <m:sty m:val="p"/>
                      </m:rPr>
                      <m:t>≤</m:t>
                    </m:r>
                    <m:r>
                      <m:t>M</m:t>
                    </m:r>
                    <m:r>
                      <m:t>T</m:t>
                    </m:r>
                  </m:e>
                </m:mr>
                <m:mr>
                  <m:e>
                    <m:d>
                      <m:dPr>
                        <m:begChr m:val="("/>
                        <m:sepChr m:val=""/>
                        <m:endChr m:val=")"/>
                        <m:grow/>
                      </m:dPr>
                      <m:e>
                        <m:r>
                          <m:t>1</m:t>
                        </m:r>
                        <m:r>
                          <m:rPr>
                            <m:sty m:val="p"/>
                          </m:rPr>
                          <m:t>−</m:t>
                        </m:r>
                        <m:r>
                          <m:t>w</m:t>
                        </m:r>
                      </m:e>
                    </m:d>
                    <m:r>
                      <m:t> </m:t>
                    </m:r>
                    <m:f>
                      <m:fPr>
                        <m:type m:val="bar"/>
                      </m:fPr>
                      <m:num>
                        <m:sSub>
                          <m:e>
                            <m:r>
                              <m:t>F</m:t>
                            </m:r>
                          </m:e>
                          <m:sub>
                            <m:r>
                              <m:rPr>
                                <m:sty m:val="p"/>
                              </m:rPr>
                              <m:t>ln</m:t>
                            </m:r>
                          </m:sub>
                        </m:sSub>
                        <m:d>
                          <m:dPr>
                            <m:begChr m:val="("/>
                            <m:sepChr m:val=""/>
                            <m:endChr m:val=")"/>
                            <m:grow/>
                          </m:dPr>
                          <m:e>
                            <m:r>
                              <m:t>s</m:t>
                            </m:r>
                          </m:e>
                        </m:d>
                        <m:r>
                          <m:rPr>
                            <m:sty m:val="p"/>
                          </m:rPr>
                          <m:t>−</m:t>
                        </m:r>
                        <m:sSub>
                          <m:e>
                            <m:r>
                              <m:t>F</m:t>
                            </m:r>
                          </m:e>
                          <m:sub>
                            <m:r>
                              <m:rPr>
                                <m:sty m:val="p"/>
                              </m:rPr>
                              <m:t>ln</m:t>
                            </m:r>
                          </m:sub>
                        </m:sSub>
                        <m:d>
                          <m:dPr>
                            <m:begChr m:val="("/>
                            <m:sepChr m:val=""/>
                            <m:endChr m:val=")"/>
                            <m:grow/>
                          </m:dPr>
                          <m:e>
                            <m:r>
                              <m:t>t</m:t>
                            </m:r>
                          </m:e>
                        </m:d>
                      </m:num>
                      <m:den>
                        <m:sSub>
                          <m:e>
                            <m:r>
                              <m:t>F</m:t>
                            </m:r>
                          </m:e>
                          <m:sub>
                            <m:r>
                              <m:rPr>
                                <m:sty m:val="p"/>
                              </m:rPr>
                              <m:t>ln</m:t>
                            </m:r>
                          </m:sub>
                        </m:sSub>
                        <m:d>
                          <m:dPr>
                            <m:begChr m:val="("/>
                            <m:sepChr m:val=""/>
                            <m:endChr m:val=")"/>
                            <m:grow/>
                          </m:dPr>
                          <m:e>
                            <m:r>
                              <m:t>s</m:t>
                            </m:r>
                          </m:e>
                        </m:d>
                        <m:r>
                          <m:rPr>
                            <m:sty m:val="p"/>
                          </m:rPr>
                          <m:t>−</m:t>
                        </m:r>
                        <m:sSub>
                          <m:e>
                            <m:r>
                              <m:t>F</m:t>
                            </m:r>
                          </m:e>
                          <m:sub>
                            <m:r>
                              <m:rPr>
                                <m:sty m:val="p"/>
                              </m:rPr>
                              <m:t>ln</m:t>
                            </m:r>
                          </m:sub>
                        </m:sSub>
                        <m:d>
                          <m:dPr>
                            <m:begChr m:val="("/>
                            <m:sepChr m:val=""/>
                            <m:endChr m:val=")"/>
                            <m:grow/>
                          </m:dPr>
                          <m:e>
                            <m:r>
                              <m:t>M</m:t>
                            </m:r>
                            <m:r>
                              <m:t>T</m:t>
                            </m:r>
                          </m:e>
                        </m:d>
                      </m:den>
                    </m:f>
                    <m:r>
                      <m:rPr>
                        <m:sty m:val="p"/>
                      </m:rPr>
                      <m:t>+</m:t>
                    </m:r>
                    <m:r>
                      <m:t>w</m:t>
                    </m:r>
                  </m:e>
                  <m:e>
                    <m:r>
                      <m:t>M</m:t>
                    </m:r>
                    <m:r>
                      <m:t>T</m:t>
                    </m:r>
                    <m:r>
                      <m:rPr>
                        <m:sty m:val="p"/>
                      </m:rPr>
                      <m:t>&lt;</m:t>
                    </m:r>
                    <m:r>
                      <m:t>t</m:t>
                    </m:r>
                    <m:r>
                      <m:rPr>
                        <m:sty m:val="p"/>
                      </m:rPr>
                      <m:t>≤</m:t>
                    </m:r>
                    <m:r>
                      <m:t>s</m:t>
                    </m:r>
                  </m:e>
                </m:mr>
                <m:mr>
                  <m:e>
                    <m:r>
                      <m:t>w</m:t>
                    </m:r>
                    <m:sSup>
                      <m:e>
                        <m:d>
                          <m:dPr>
                            <m:begChr m:val="("/>
                            <m:sepChr m:val=""/>
                            <m:endChr m:val=")"/>
                            <m:grow/>
                          </m:dPr>
                          <m:e>
                            <m:f>
                              <m:fPr>
                                <m:type m:val="bar"/>
                              </m:fPr>
                              <m:num>
                                <m:r>
                                  <m:t>t</m:t>
                                </m:r>
                              </m:num>
                              <m:den>
                                <m:r>
                                  <m:t>s</m:t>
                                </m:r>
                              </m:den>
                            </m:f>
                          </m:e>
                        </m:d>
                      </m:e>
                      <m:sup>
                        <m:r>
                          <m:rPr>
                            <m:sty m:val="p"/>
                          </m:rPr>
                          <m:t>−</m:t>
                        </m:r>
                        <m:r>
                          <m:t>α</m:t>
                        </m:r>
                      </m:sup>
                    </m:sSup>
                  </m:e>
                  <m:e>
                    <m:r>
                      <m:t>t</m:t>
                    </m:r>
                    <m:r>
                      <m:rPr>
                        <m:sty m:val="p"/>
                      </m:rPr>
                      <m:t>&gt;</m:t>
                    </m:r>
                    <m:r>
                      <m:t>s</m:t>
                    </m:r>
                  </m:e>
                </m:mr>
              </m:m>
            </m:e>
          </m:d>
        </m:oMath>
      </m:oMathPara>
    </w:p>
    <w:p>
      <w:pPr>
        <w:pStyle w:val="FirstParagraph"/>
      </w:pPr>
      <w:r>
        <w:t xml:space="preserve">where</w:t>
      </w:r>
      <w:r>
        <w:t xml:space="preserve"> </w:t>
      </w:r>
      <m:oMath>
        <m:sSub>
          <m:e>
            <m:r>
              <m:t>F</m:t>
            </m:r>
          </m:e>
          <m:sub>
            <m:r>
              <m:rPr>
                <m:sty m:val="p"/>
              </m:rPr>
              <m:t>ln</m:t>
            </m:r>
          </m:sub>
        </m:sSub>
      </m:oMath>
      <w:r>
        <w:t xml:space="preserve"> </w:t>
      </w:r>
      <w:r>
        <w:t xml:space="preserve">is the lognormal CDF.</w:t>
      </w:r>
    </w:p>
    <w:p>
      <w:pPr>
        <w:pStyle w:val="BodyText"/>
      </w:pPr>
      <w:r>
        <w:rPr>
          <w:b/>
          <w:bCs/>
        </w:rPr>
        <w:t xml:space="preserve">Threshold choice.</w:t>
      </w:r>
      <w:r>
        <w:t xml:space="preserve"> </w:t>
      </w:r>
      <w:r>
        <w:t xml:space="preserve">Setting</w:t>
      </w:r>
      <w:r>
        <w:t xml:space="preserve"> </w:t>
      </w:r>
      <m:oMath>
        <m:r>
          <m:t>s</m:t>
        </m:r>
        <m:r>
          <m:rPr>
            <m:sty m:val="p"/>
          </m:rPr>
          <m:t>=</m:t>
        </m:r>
        <m:r>
          <m:t>M</m:t>
        </m:r>
        <m:r>
          <m:t>T</m:t>
        </m:r>
      </m:oMath>
      <w:r>
        <w:t xml:space="preserve"> </w:t>
      </w:r>
      <w:r>
        <w:t xml:space="preserve">empties the body and collapses the model to a single Pareto. The dashboard shows the fitted versus empirical severity CDF, which updates live as the thresholds move so the user can see how well the fit matches the data and choose where the tail begins.</w:t>
      </w:r>
    </w:p>
    <w:bookmarkEnd w:id="33"/>
    <w:bookmarkStart w:id="34" w:name="monte-carlo-simulation"/>
    <w:p>
      <w:pPr>
        <w:pStyle w:val="Heading2"/>
      </w:pPr>
      <w:r>
        <w:t xml:space="preserve">Monte Carlo simulation</w:t>
      </w:r>
    </w:p>
    <w:p>
      <w:pPr>
        <w:pStyle w:val="FirstParagraph"/>
      </w:pPr>
      <w:r>
        <w:t xml:space="preserve">The simulation builds the distribution of the reinsured loss by drawing many</w:t>
      </w:r>
      <w:r>
        <w:t xml:space="preserve"> </w:t>
      </w:r>
      <w:r>
        <w:t xml:space="preserve">possible years from the fitted models. For a fixed random seed (so runs are</w:t>
      </w:r>
      <w:r>
        <w:t xml:space="preserve"> </w:t>
      </w:r>
      <w:r>
        <w:t xml:space="preserve">reproducible), each of the</w:t>
      </w:r>
      <w:r>
        <w:t xml:space="preserve"> </w:t>
      </w:r>
      <w:r>
        <w:rPr>
          <w:rStyle w:val="VerbatimChar"/>
        </w:rPr>
        <w:t xml:space="preserve">n_simulations</w:t>
      </w:r>
      <w:r>
        <w:t xml:space="preserve"> </w:t>
      </w:r>
      <w:r>
        <w:t xml:space="preserve">iterations does the following:</w:t>
      </w:r>
    </w:p>
    <w:p>
      <w:pPr>
        <w:pStyle w:val="Compact"/>
        <w:numPr>
          <w:ilvl w:val="0"/>
          <w:numId w:val="1010"/>
        </w:numPr>
      </w:pPr>
      <w:r>
        <w:rPr>
          <w:b/>
          <w:bCs/>
        </w:rPr>
        <w:t xml:space="preserve">Draw the count.</w:t>
      </w:r>
      <w:r>
        <w:t xml:space="preserve"> </w:t>
      </w:r>
      <w:r>
        <w:t xml:space="preserve">Draw the annual number of losses</w:t>
      </w:r>
      <w:r>
        <w:t xml:space="preserve"> </w:t>
      </w:r>
      <m:oMath>
        <m:r>
          <m:t>N</m:t>
        </m:r>
      </m:oMath>
      <w:r>
        <w:t xml:space="preserve"> </w:t>
      </w:r>
      <w:r>
        <w:t xml:space="preserve">from the fitted</w:t>
      </w:r>
      <w:r>
        <w:t xml:space="preserve"> </w:t>
      </w:r>
      <w:r>
        <w:t xml:space="preserve">frequency distribution (</w:t>
      </w:r>
      <w:r>
        <w:rPr>
          <w:rStyle w:val="VerbatimChar"/>
        </w:rPr>
        <w:t xml:space="preserve">sample_frequency</w:t>
      </w:r>
      <w:r>
        <w:t xml:space="preserve">).</w:t>
      </w:r>
    </w:p>
    <w:p>
      <w:pPr>
        <w:pStyle w:val="Compact"/>
        <w:numPr>
          <w:ilvl w:val="0"/>
          <w:numId w:val="1010"/>
        </w:numPr>
      </w:pPr>
      <w:r>
        <w:rPr>
          <w:b/>
          <w:bCs/>
        </w:rPr>
        <w:t xml:space="preserve">Draw the severities.</w:t>
      </w:r>
      <w:r>
        <w:t xml:space="preserve"> </w:t>
      </w:r>
      <w:r>
        <w:t xml:space="preserve">Draw</w:t>
      </w:r>
      <w:r>
        <w:t xml:space="preserve"> </w:t>
      </w:r>
      <m:oMath>
        <m:r>
          <m:t>N</m:t>
        </m:r>
      </m:oMath>
      <w:r>
        <w:t xml:space="preserve"> </w:t>
      </w:r>
      <w:r>
        <w:t xml:space="preserve">loss sizes from the spliced severity</w:t>
      </w:r>
      <w:r>
        <w:t xml:space="preserve"> </w:t>
      </w:r>
      <w:r>
        <w:t xml:space="preserve">conditional on</w:t>
      </w:r>
      <w:r>
        <w:t xml:space="preserve"> </w:t>
      </w:r>
      <m:oMath>
        <m:r>
          <m:t>X</m:t>
        </m:r>
        <m:r>
          <m:rPr>
            <m:sty m:val="p"/>
          </m:rPr>
          <m:t>&gt;</m:t>
        </m:r>
        <m:r>
          <m:t>M</m:t>
        </m:r>
        <m:r>
          <m:t>T</m:t>
        </m:r>
      </m:oMath>
      <w:r>
        <w:t xml:space="preserve"> </w:t>
      </w:r>
      <w:r>
        <w:t xml:space="preserve">(</w:t>
      </w:r>
      <w:r>
        <w:rPr>
          <w:rStyle w:val="VerbatimChar"/>
        </w:rPr>
        <w:t xml:space="preserve">sample_severity</w:t>
      </w:r>
      <w:r>
        <w:t xml:space="preserve">). Each draw uses inverse-CDF</w:t>
      </w:r>
      <w:r>
        <w:t xml:space="preserve"> </w:t>
      </w:r>
      <w:r>
        <w:t xml:space="preserve">sampling: with probability</w:t>
      </w:r>
      <w:r>
        <w:t xml:space="preserve"> </w:t>
      </w:r>
      <m:oMath>
        <m:r>
          <m:t>w</m:t>
        </m:r>
      </m:oMath>
      <w:r>
        <w:t xml:space="preserve"> </w:t>
      </w:r>
      <w:r>
        <w:t xml:space="preserve">it comes from the Pareto tail,</w:t>
      </w:r>
      <w:r>
        <w:t xml:space="preserve"> </w:t>
      </w:r>
      <m:oMath>
        <m:r>
          <m:t>s</m:t>
        </m:r>
        <m:r>
          <m:rPr>
            <m:sty m:val="p"/>
          </m:rPr>
          <m:t>⋅</m:t>
        </m:r>
        <m:sSup>
          <m:e>
            <m:r>
              <m:t>U</m:t>
            </m:r>
          </m:e>
          <m:sup>
            <m:r>
              <m:rPr>
                <m:sty m:val="p"/>
              </m:rPr>
              <m:t>−</m:t>
            </m:r>
            <m:r>
              <m:t>1</m:t>
            </m:r>
            <m:r>
              <m:rPr>
                <m:sty m:val="p"/>
              </m:rPr>
              <m:t>/</m:t>
            </m:r>
            <m:r>
              <m:t>α</m:t>
            </m:r>
          </m:sup>
        </m:sSup>
      </m:oMath>
      <w:r>
        <w:t xml:space="preserve">; otherwise from the lognormal body truncated to</w:t>
      </w:r>
      <w:r>
        <w:t xml:space="preserve"> </w:t>
      </w:r>
      <m:oMath>
        <m:r>
          <m:rPr>
            <m:sty m:val="p"/>
          </m:rPr>
          <m:t>(</m:t>
        </m:r>
        <m:r>
          <m:t>M</m:t>
        </m:r>
        <m:r>
          <m:t>T</m:t>
        </m:r>
        <m:r>
          <m:rPr>
            <m:sty m:val="p"/>
          </m:rPr>
          <m:t>,</m:t>
        </m:r>
        <m:r>
          <m:t>s</m:t>
        </m:r>
        <m:r>
          <m:rPr>
            <m:sty m:val="p"/>
          </m:rPr>
          <m:t>]</m:t>
        </m:r>
      </m:oMath>
      <w:r>
        <w:t xml:space="preserve">.</w:t>
      </w:r>
    </w:p>
    <w:p>
      <w:pPr>
        <w:pStyle w:val="FirstParagraph"/>
      </w:pPr>
      <w:r>
        <w:t xml:space="preserve">This produces, for each simulated year, the list of ground-up losses</w:t>
      </w:r>
      <w:r>
        <w:t xml:space="preserve"> </w:t>
      </w:r>
      <w:r>
        <w:t xml:space="preserve">(</w:t>
      </w:r>
      <w:r>
        <w:rPr>
          <w:rStyle w:val="VerbatimChar"/>
        </w:rPr>
        <w:t xml:space="preserve">simulate.R</w:t>
      </w:r>
      <w:r>
        <w:t xml:space="preserve">). The layers are then applied to each year (</w:t>
      </w:r>
      <w:r>
        <w:rPr>
          <w:rStyle w:val="VerbatimChar"/>
        </w:rPr>
        <w:t xml:space="preserve">price.R</w:t>
      </w:r>
      <w:r>
        <w:t xml:space="preserve">).</w:t>
      </w:r>
    </w:p>
    <w:p>
      <w:pPr>
        <w:pStyle w:val="BodyText"/>
      </w:pPr>
      <w:r>
        <w:rPr>
          <w:b/>
          <w:bCs/>
        </w:rPr>
        <w:t xml:space="preserve">Applying a layer.</w:t>
      </w:r>
      <w:r>
        <w:t xml:space="preserve"> </w:t>
      </w:r>
      <w:r>
        <w:t xml:space="preserve">For a layer of cover</w:t>
      </w:r>
      <w:r>
        <w:t xml:space="preserve"> </w:t>
      </w:r>
      <m:oMath>
        <m:r>
          <m:t>C</m:t>
        </m:r>
      </m:oMath>
      <w:r>
        <w:t xml:space="preserve"> </w:t>
      </w:r>
      <w:r>
        <w:t xml:space="preserve">excess of deductible</w:t>
      </w:r>
      <w:r>
        <w:t xml:space="preserve"> </w:t>
      </w:r>
      <m:oMath>
        <m:r>
          <m:t>D</m:t>
        </m:r>
      </m:oMath>
      <w:r>
        <w:t xml:space="preserve">, each</w:t>
      </w:r>
      <w:r>
        <w:t xml:space="preserve"> </w:t>
      </w:r>
      <w:r>
        <w:t xml:space="preserve">loss contributes</w:t>
      </w:r>
    </w:p>
    <w:p>
      <w:pPr>
        <w:pStyle w:val="BodyText"/>
      </w:pPr>
      <m:oMathPara>
        <m:oMathParaPr>
          <m:jc m:val="center"/>
        </m:oMathParaPr>
        <m:oMath>
          <m:sSub>
            <m:e>
              <m:r>
                <m:t>L</m:t>
              </m:r>
            </m:e>
            <m:sub>
              <m:r>
                <m:t>D</m:t>
              </m:r>
              <m:r>
                <m:rPr>
                  <m:sty m:val="p"/>
                </m:rPr>
                <m:t>,</m:t>
              </m:r>
              <m:r>
                <m:t>C</m:t>
              </m:r>
            </m:sub>
          </m:sSub>
          <m:d>
            <m:dPr>
              <m:begChr m:val="("/>
              <m:sepChr m:val=""/>
              <m:endChr m:val=")"/>
              <m:grow/>
            </m:dPr>
            <m:e>
              <m:r>
                <m:t>x</m:t>
              </m:r>
            </m:e>
          </m:d>
          <m:r>
            <m:rPr>
              <m:sty m:val="p"/>
            </m:rPr>
            <m:t>=</m:t>
          </m:r>
          <m:r>
            <m:rPr>
              <m:sty m:val="p"/>
            </m:rPr>
            <m:t>min</m:t>
          </m:r>
          <m:d>
            <m:dPr>
              <m:begChr m:val="("/>
              <m:sepChr m:val=""/>
              <m:endChr m:val=")"/>
              <m:grow/>
            </m:dPr>
            <m:e>
              <m:r>
                <m:rPr>
                  <m:sty m:val="p"/>
                </m:rPr>
                <m:t>max</m:t>
              </m:r>
              <m:d>
                <m:dPr>
                  <m:begChr m:val="("/>
                  <m:sepChr m:val=""/>
                  <m:endChr m:val=")"/>
                  <m:grow/>
                </m:dPr>
                <m:e>
                  <m:r>
                    <m:t>x</m:t>
                  </m:r>
                  <m:r>
                    <m:rPr>
                      <m:sty m:val="p"/>
                    </m:rPr>
                    <m:t>−</m:t>
                  </m:r>
                  <m:r>
                    <m:t>D</m:t>
                  </m:r>
                  <m:r>
                    <m:rPr>
                      <m:sty m:val="p"/>
                    </m:rPr>
                    <m:t>,</m:t>
                  </m:r>
                  <m:r>
                    <m:t>0</m:t>
                  </m:r>
                </m:e>
              </m:d>
              <m:r>
                <m:rPr>
                  <m:sty m:val="p"/>
                </m:rPr>
                <m:t>,</m:t>
              </m:r>
              <m:r>
                <m:t> </m:t>
              </m:r>
              <m:r>
                <m:t>C</m:t>
              </m:r>
            </m:e>
          </m:d>
          <m:r>
            <m:rPr>
              <m:sty m:val="p"/>
            </m:rPr>
            <m:t>.</m:t>
          </m:r>
        </m:oMath>
      </m:oMathPara>
    </w:p>
    <w:p>
      <w:pPr>
        <w:pStyle w:val="FirstParagraph"/>
      </w:pPr>
      <w:r>
        <w:t xml:space="preserve">These per-loss recoveries are summed over the year, and then the annual</w:t>
      </w:r>
      <w:r>
        <w:t xml:space="preserve"> </w:t>
      </w:r>
      <w:r>
        <w:t xml:space="preserve">aggregate features are applied</w:t>
      </w:r>
      <w:r>
        <w:t xml:space="preserve"> </w:t>
      </w:r>
      <w:r>
        <w:rPr>
          <w:b/>
          <w:bCs/>
        </w:rPr>
        <w:t xml:space="preserve">in this order</w:t>
      </w:r>
      <w:r>
        <w:t xml:space="preserve">:</w:t>
      </w:r>
    </w:p>
    <w:p>
      <w:pPr>
        <w:pStyle w:val="Compact"/>
        <w:numPr>
          <w:ilvl w:val="0"/>
          <w:numId w:val="1011"/>
        </w:numPr>
      </w:pPr>
      <w:r>
        <w:rPr>
          <w:b/>
          <w:bCs/>
        </w:rPr>
        <w:t xml:space="preserve">Annual aggregate deductible (AAD):</w:t>
      </w:r>
      <w:r>
        <w:t xml:space="preserve"> </w:t>
      </w:r>
      <w:r>
        <w:t xml:space="preserve">the layer absorbs the first AAD of</w:t>
      </w:r>
      <w:r>
        <w:t xml:space="preserve"> </w:t>
      </w:r>
      <w:r>
        <w:t xml:space="preserve">aggregate loss, so the aggregate becomes</w:t>
      </w:r>
      <w:r>
        <w:t xml:space="preserve"> </w:t>
      </w:r>
      <m:oMath>
        <m:r>
          <m:rPr>
            <m:sty m:val="p"/>
          </m:rPr>
          <m:t>max</m:t>
        </m:r>
        <m:d>
          <m:dPr>
            <m:begChr m:val="("/>
            <m:sepChr m:val=""/>
            <m:endChr m:val=")"/>
            <m:grow/>
          </m:dPr>
          <m:e>
            <m:r>
              <m:rPr>
                <m:nor/>
                <m:sty m:val="p"/>
              </m:rPr>
              <m:t>agg</m:t>
            </m:r>
            <m:r>
              <m:rPr>
                <m:sty m:val="p"/>
              </m:rPr>
              <m:t>−</m:t>
            </m:r>
            <m:r>
              <m:rPr>
                <m:nor/>
                <m:sty m:val="p"/>
              </m:rPr>
              <m:t>AAD</m:t>
            </m:r>
            <m:r>
              <m:rPr>
                <m:sty m:val="p"/>
              </m:rPr>
              <m:t>,</m:t>
            </m:r>
            <m:r>
              <m:t>0</m:t>
            </m:r>
          </m:e>
        </m:d>
      </m:oMath>
      <w:r>
        <w:t xml:space="preserve">. A</w:t>
      </w:r>
      <w:r>
        <w:t xml:space="preserve"> </w:t>
      </w:r>
      <w:r>
        <w:t xml:space="preserve">blank or zero AAD means no aggregate deductible.</w:t>
      </w:r>
    </w:p>
    <w:p>
      <w:pPr>
        <w:pStyle w:val="Compact"/>
        <w:numPr>
          <w:ilvl w:val="0"/>
          <w:numId w:val="1011"/>
        </w:numPr>
      </w:pPr>
      <w:r>
        <w:rPr>
          <w:b/>
          <w:bCs/>
        </w:rPr>
        <w:t xml:space="preserve">Annual aggregate limit (AAL):</w:t>
      </w:r>
      <w:r>
        <w:t xml:space="preserve"> </w:t>
      </w:r>
      <w:r>
        <w:t xml:space="preserve">the aggregate is capped at AAL, so it</w:t>
      </w:r>
      <w:r>
        <w:t xml:space="preserve"> </w:t>
      </w:r>
      <w:r>
        <w:t xml:space="preserve">becomes</w:t>
      </w:r>
      <w:r>
        <w:t xml:space="preserve"> </w:t>
      </w:r>
      <m:oMath>
        <m:r>
          <m:rPr>
            <m:sty m:val="p"/>
          </m:rPr>
          <m:t>min</m:t>
        </m:r>
        <m:d>
          <m:dPr>
            <m:begChr m:val="("/>
            <m:sepChr m:val=""/>
            <m:endChr m:val=")"/>
            <m:grow/>
          </m:dPr>
          <m:e>
            <m:r>
              <m:rPr>
                <m:nor/>
                <m:sty m:val="p"/>
              </m:rPr>
              <m:t>agg</m:t>
            </m:r>
            <m:r>
              <m:rPr>
                <m:sty m:val="p"/>
              </m:rPr>
              <m:t>,</m:t>
            </m:r>
            <m:r>
              <m:rPr>
                <m:nor/>
                <m:sty m:val="p"/>
              </m:rPr>
              <m:t>AAL</m:t>
            </m:r>
          </m:e>
        </m:d>
      </m:oMath>
      <w:r>
        <w:t xml:space="preserve">. A blank or zero AAL means an unlimited</w:t>
      </w:r>
      <w:r>
        <w:t xml:space="preserve"> </w:t>
      </w:r>
      <w:r>
        <w:t xml:space="preserve">aggregate.</w:t>
      </w:r>
    </w:p>
    <w:p>
      <w:pPr>
        <w:pStyle w:val="FirstParagraph"/>
      </w:pPr>
      <w:r>
        <w:t xml:space="preserve">A blank aggregate is deliberately distinguished from a value of 0 in the</w:t>
      </w:r>
      <w:r>
        <w:t xml:space="preserve"> </w:t>
      </w:r>
      <w:r>
        <w:t xml:space="preserve">dashboard: blank turns the control off, while 0 would mean a zero deductible or</w:t>
      </w:r>
      <w:r>
        <w:t xml:space="preserve"> </w:t>
      </w:r>
      <w:r>
        <w:t xml:space="preserve">a zero limit. Reinstatements are not modelled.</w:t>
      </w:r>
    </w:p>
    <w:bookmarkEnd w:id="34"/>
    <w:bookmarkStart w:id="35" w:name="premium-principles-and-risk-metrics"/>
    <w:p>
      <w:pPr>
        <w:pStyle w:val="Heading2"/>
      </w:pPr>
      <w:r>
        <w:t xml:space="preserve">Premium principles and risk metrics</w:t>
      </w:r>
    </w:p>
    <w:p>
      <w:pPr>
        <w:pStyle w:val="FirstParagraph"/>
      </w:pPr>
      <w:r>
        <w:t xml:space="preserve">Collecting the reinsured aggregate loss across all simulated years gives the</w:t>
      </w:r>
      <w:r>
        <w:t xml:space="preserve"> </w:t>
      </w:r>
      <w:r>
        <w:t xml:space="preserve">empirical loss distribution for each layer. From it (</w:t>
      </w:r>
      <w:r>
        <w:rPr>
          <w:rStyle w:val="VerbatimChar"/>
        </w:rPr>
        <w:t xml:space="preserve">price_layer</w:t>
      </w:r>
      <w:r>
        <w:t xml:space="preserve">):</w:t>
      </w:r>
    </w:p>
    <w:p>
      <w:pPr>
        <w:pStyle w:val="Compact"/>
        <w:numPr>
          <w:ilvl w:val="0"/>
          <w:numId w:val="1012"/>
        </w:numPr>
      </w:pPr>
      <w:r>
        <w:rPr>
          <w:b/>
          <w:bCs/>
        </w:rPr>
        <w:t xml:space="preserve">Expected loss</w:t>
      </w:r>
      <w:r>
        <w:t xml:space="preserve"> </w:t>
      </w:r>
      <m:oMath>
        <m:r>
          <m:t>E</m:t>
        </m:r>
        <m:d>
          <m:dPr>
            <m:begChr m:val="["/>
            <m:sepChr m:val=""/>
            <m:endChr m:val="]"/>
            <m:grow/>
          </m:dPr>
          <m:e>
            <m:r>
              <m:t>L</m:t>
            </m:r>
          </m:e>
        </m:d>
      </m:oMath>
      <w:r>
        <w:t xml:space="preserve">, the simulated mean.</w:t>
      </w:r>
    </w:p>
    <w:p>
      <w:pPr>
        <w:pStyle w:val="Compact"/>
        <w:numPr>
          <w:ilvl w:val="0"/>
          <w:numId w:val="1012"/>
        </w:numPr>
      </w:pPr>
      <w:r>
        <w:rPr>
          <w:b/>
          <w:bCs/>
        </w:rPr>
        <w:t xml:space="preserve">Standard deviation</w:t>
      </w:r>
      <w:r>
        <w:t xml:space="preserve"> </w:t>
      </w:r>
      <m:oMath>
        <m:r>
          <m:rPr>
            <m:sty m:val="p"/>
          </m:rPr>
          <m:t>s</m:t>
        </m:r>
        <m:r>
          <m:rPr>
            <m:sty m:val="p"/>
          </m:rPr>
          <m:t>d</m:t>
        </m:r>
        <m:d>
          <m:dPr>
            <m:begChr m:val="["/>
            <m:sepChr m:val=""/>
            <m:endChr m:val="]"/>
            <m:grow/>
          </m:dPr>
          <m:e>
            <m:r>
              <m:t>L</m:t>
            </m:r>
          </m:e>
        </m:d>
      </m:oMath>
      <w:r>
        <w:t xml:space="preserve">, the volatility of the annual loss.</w:t>
      </w:r>
    </w:p>
    <w:p>
      <w:pPr>
        <w:pStyle w:val="Compact"/>
        <w:numPr>
          <w:ilvl w:val="0"/>
          <w:numId w:val="1012"/>
        </w:numPr>
      </w:pPr>
      <w:r>
        <w:rPr>
          <w:b/>
          <w:bCs/>
        </w:rPr>
        <w:t xml:space="preserve">Value at Risk</w:t>
      </w:r>
      <w:r>
        <w:t xml:space="preserve"> </w:t>
      </w:r>
      <m:oMath>
        <m:sSub>
          <m:e>
            <m:r>
              <m:rPr>
                <m:sty m:val="p"/>
              </m:rPr>
              <m:t>V</m:t>
            </m:r>
            <m:r>
              <m:rPr>
                <m:sty m:val="p"/>
              </m:rPr>
              <m:t>a</m:t>
            </m:r>
            <m:r>
              <m:rPr>
                <m:sty m:val="p"/>
              </m:rPr>
              <m:t>R</m:t>
            </m:r>
          </m:e>
          <m:sub>
            <m:r>
              <m:t>q</m:t>
            </m:r>
          </m:sub>
        </m:sSub>
      </m:oMath>
      <w:r>
        <w:t xml:space="preserve">, the</w:t>
      </w:r>
      <w:r>
        <w:t xml:space="preserve"> </w:t>
      </w:r>
      <m:oMath>
        <m:r>
          <m:t>q</m:t>
        </m:r>
      </m:oMath>
      <w:r>
        <w:t xml:space="preserve"> </w:t>
      </w:r>
      <w:r>
        <w:t xml:space="preserve">quantile of the annual loss at the</w:t>
      </w:r>
      <w:r>
        <w:t xml:space="preserve"> </w:t>
      </w:r>
      <w:r>
        <w:t xml:space="preserve">user-chosen level</w:t>
      </w:r>
      <w:r>
        <w:t xml:space="preserve"> </w:t>
      </w:r>
      <m:oMath>
        <m:r>
          <m:t>q</m:t>
        </m:r>
      </m:oMath>
      <w:r>
        <w:t xml:space="preserve"> </w:t>
      </w:r>
      <w:r>
        <w:t xml:space="preserve">(default 0.99).</w:t>
      </w:r>
    </w:p>
    <w:p>
      <w:pPr>
        <w:pStyle w:val="Compact"/>
        <w:numPr>
          <w:ilvl w:val="0"/>
          <w:numId w:val="1012"/>
        </w:numPr>
      </w:pPr>
      <w:r>
        <w:rPr>
          <w:b/>
          <w:bCs/>
        </w:rPr>
        <w:t xml:space="preserve">Tail Value at Risk</w:t>
      </w:r>
      <w:r>
        <w:t xml:space="preserve"> </w:t>
      </w:r>
      <m:oMath>
        <m:sSub>
          <m:e>
            <m:r>
              <m:rPr>
                <m:sty m:val="p"/>
              </m:rPr>
              <m:t>T</m:t>
            </m:r>
            <m:r>
              <m:rPr>
                <m:sty m:val="p"/>
              </m:rPr>
              <m:t>V</m:t>
            </m:r>
            <m:r>
              <m:rPr>
                <m:sty m:val="p"/>
              </m:rPr>
              <m:t>a</m:t>
            </m:r>
            <m:r>
              <m:rPr>
                <m:sty m:val="p"/>
              </m:rPr>
              <m:t>R</m:t>
            </m:r>
          </m:e>
          <m:sub>
            <m:r>
              <m:t>q</m:t>
            </m:r>
          </m:sub>
        </m:sSub>
      </m:oMath>
      <w:r>
        <w:t xml:space="preserve">, the mean of the losses at or above</w:t>
      </w:r>
      <w:r>
        <w:t xml:space="preserve"> </w:t>
      </w:r>
      <w:r>
        <w:t xml:space="preserve">the VaR.</w:t>
      </w:r>
    </w:p>
    <w:p>
      <w:pPr>
        <w:pStyle w:val="FirstParagraph"/>
      </w:pPr>
      <w:r>
        <w:t xml:space="preserve">Two premium principles are reported, both driven by user-set loadings:</w:t>
      </w:r>
    </w:p>
    <w:p>
      <w:pPr>
        <w:pStyle w:val="BodyText"/>
      </w:pPr>
      <m:oMathPara>
        <m:oMathParaPr>
          <m:jc m:val="center"/>
        </m:oMathParaPr>
        <m:oMath>
          <m:sSub>
            <m:e>
              <m:r>
                <m:t>P</m:t>
              </m:r>
            </m:e>
            <m:sub>
              <m:r>
                <m:t>E</m:t>
              </m:r>
              <m:r>
                <m:t>V</m:t>
              </m:r>
            </m:sub>
          </m:sSub>
          <m:r>
            <m:rPr>
              <m:sty m:val="p"/>
            </m:rPr>
            <m:t>=</m:t>
          </m:r>
          <m:d>
            <m:dPr>
              <m:begChr m:val="("/>
              <m:sepChr m:val=""/>
              <m:endChr m:val=")"/>
              <m:grow/>
            </m:dPr>
            <m:e>
              <m:r>
                <m:t>1</m:t>
              </m:r>
              <m:r>
                <m:rPr>
                  <m:sty m:val="p"/>
                </m:rPr>
                <m:t>+</m:t>
              </m:r>
              <m:sSub>
                <m:e>
                  <m:r>
                    <m:t>θ</m:t>
                  </m:r>
                </m:e>
                <m:sub>
                  <m:r>
                    <m:t>E</m:t>
                  </m:r>
                  <m:r>
                    <m:t>V</m:t>
                  </m:r>
                </m:sub>
              </m:sSub>
            </m:e>
          </m:d>
          <m:r>
            <m:t> </m:t>
          </m:r>
          <m:r>
            <m:t>E</m:t>
          </m:r>
          <m:d>
            <m:dPr>
              <m:begChr m:val="["/>
              <m:sepChr m:val=""/>
              <m:endChr m:val="]"/>
              <m:grow/>
            </m:dPr>
            <m:e>
              <m:r>
                <m:t>L</m:t>
              </m:r>
            </m:e>
          </m:d>
          <m:r>
            <m:rPr>
              <m:sty m:val="p"/>
            </m:rPr>
            <m:t>,</m:t>
          </m:r>
          <m:r>
            <m:t>  </m:t>
          </m:r>
          <m:sSub>
            <m:e>
              <m:r>
                <m:t>P</m:t>
              </m:r>
            </m:e>
            <m:sub>
              <m:r>
                <m:t>S</m:t>
              </m:r>
              <m:r>
                <m:t>D</m:t>
              </m:r>
            </m:sub>
          </m:sSub>
          <m:r>
            <m:rPr>
              <m:sty m:val="p"/>
            </m:rPr>
            <m:t>=</m:t>
          </m:r>
          <m:r>
            <m:t>E</m:t>
          </m:r>
          <m:d>
            <m:dPr>
              <m:begChr m:val="["/>
              <m:sepChr m:val=""/>
              <m:endChr m:val="]"/>
              <m:grow/>
            </m:dPr>
            <m:e>
              <m:r>
                <m:t>L</m:t>
              </m:r>
            </m:e>
          </m:d>
          <m:r>
            <m:rPr>
              <m:sty m:val="p"/>
            </m:rPr>
            <m:t>+</m:t>
          </m:r>
          <m:sSub>
            <m:e>
              <m:r>
                <m:t>θ</m:t>
              </m:r>
            </m:e>
            <m:sub>
              <m:r>
                <m:t>S</m:t>
              </m:r>
              <m:r>
                <m:t>D</m:t>
              </m:r>
            </m:sub>
          </m:sSub>
          <m:r>
            <m:t> </m:t>
          </m:r>
          <m:r>
            <m:rPr>
              <m:sty m:val="p"/>
            </m:rPr>
            <m:t>s</m:t>
          </m:r>
          <m:r>
            <m:rPr>
              <m:sty m:val="p"/>
            </m:rPr>
            <m:t>d</m:t>
          </m:r>
          <m:d>
            <m:dPr>
              <m:begChr m:val="["/>
              <m:sepChr m:val=""/>
              <m:endChr m:val="]"/>
              <m:grow/>
            </m:dPr>
            <m:e>
              <m:r>
                <m:t>L</m:t>
              </m:r>
            </m:e>
          </m:d>
          <m:r>
            <m:rPr>
              <m:sty m:val="p"/>
            </m:rPr>
            <m:t>.</m:t>
          </m:r>
        </m:oMath>
      </m:oMathPara>
    </w:p>
    <w:bookmarkEnd w:id="35"/>
    <w:bookmarkStart w:id="36" w:name="validation-an-independent-oracle"/>
    <w:p>
      <w:pPr>
        <w:pStyle w:val="Heading2"/>
      </w:pPr>
      <w:r>
        <w:t xml:space="preserve">Validation: an independent oracle</w:t>
      </w:r>
    </w:p>
    <w:p>
      <w:pPr>
        <w:pStyle w:val="FirstParagraph"/>
      </w:pPr>
      <w:r>
        <w:t xml:space="preserve">The simulation is cross-checked by a calculation that shares none of its</w:t>
      </w:r>
      <w:r>
        <w:t xml:space="preserve"> </w:t>
      </w:r>
      <w:r>
        <w:t xml:space="preserve">machinery. The expected loss to a layer can be written, via the layer-integral</w:t>
      </w:r>
      <w:r>
        <w:t xml:space="preserve"> </w:t>
      </w:r>
      <w:r>
        <w:t xml:space="preserve">(</w:t>
      </w:r>
      <w:r>
        <w:t xml:space="preserve">“Darth Vader”</w:t>
      </w:r>
      <w:r>
        <w:t xml:space="preserve">) identity, as the integral of the survival function over the</w:t>
      </w:r>
      <w:r>
        <w:t xml:space="preserve"> </w:t>
      </w:r>
      <w:r>
        <w:t xml:space="preserve">layer, multiplied by the expected frequency:</w:t>
      </w:r>
    </w:p>
    <w:p>
      <w:pPr>
        <w:pStyle w:val="BodyText"/>
      </w:pPr>
      <m:oMathPara>
        <m:oMathParaPr>
          <m:jc m:val="center"/>
        </m:oMathParaPr>
        <m:oMath>
          <m:r>
            <m:t>E</m:t>
          </m:r>
          <m:d>
            <m:dPr>
              <m:begChr m:val="["/>
              <m:sepChr m:val=""/>
              <m:endChr m:val="]"/>
              <m:grow/>
            </m:dPr>
            <m:e>
              <m:sSub>
                <m:e>
                  <m:r>
                    <m:t>L</m:t>
                  </m:r>
                </m:e>
                <m:sub>
                  <m:r>
                    <m:t>D</m:t>
                  </m:r>
                  <m:r>
                    <m:rPr>
                      <m:sty m:val="p"/>
                    </m:rPr>
                    <m:t>,</m:t>
                  </m:r>
                  <m:r>
                    <m:t>C</m:t>
                  </m:r>
                </m:sub>
              </m:sSub>
            </m:e>
          </m:d>
          <m:r>
            <m:rPr>
              <m:sty m:val="p"/>
            </m:rPr>
            <m:t>=</m:t>
          </m:r>
          <m:r>
            <m:t>E</m:t>
          </m:r>
          <m:d>
            <m:dPr>
              <m:begChr m:val="["/>
              <m:sepChr m:val=""/>
              <m:endChr m:val="]"/>
              <m:grow/>
            </m:dPr>
            <m:e>
              <m:r>
                <m:t>N</m:t>
              </m:r>
            </m:e>
          </m:d>
          <m:r>
            <m:rPr>
              <m:sty m:val="p"/>
            </m:rPr>
            <m:t>⋅</m:t>
          </m:r>
          <m:nary>
            <m:naryPr>
              <m:chr m:val="∫"/>
              <m:limLoc m:val="subSup"/>
              <m:subHide m:val="off"/>
              <m:supHide m:val="off"/>
            </m:naryPr>
            <m:sub>
              <m:r>
                <m:t>D</m:t>
              </m:r>
            </m:sub>
            <m:sup>
              <m:r>
                <m:t>D</m:t>
              </m:r>
              <m:r>
                <m:rPr>
                  <m:sty m:val="p"/>
                </m:rPr>
                <m:t>+</m:t>
              </m:r>
              <m:r>
                <m:t>C</m:t>
              </m:r>
            </m:sup>
            <m:e>
              <m:r>
                <m:t>S</m:t>
              </m:r>
            </m:e>
          </m:nary>
          <m:d>
            <m:dPr>
              <m:begChr m:val="("/>
              <m:sepChr m:val=""/>
              <m:endChr m:val=")"/>
              <m:grow/>
            </m:dPr>
            <m:e>
              <m:r>
                <m:t>t</m:t>
              </m:r>
            </m:e>
          </m:d>
          <m:r>
            <m:t> </m:t>
          </m:r>
          <m:r>
            <m:t>d</m:t>
          </m:r>
          <m:r>
            <m:t>t</m:t>
          </m:r>
          <m:r>
            <m:rPr>
              <m:sty m:val="p"/>
            </m:rPr>
            <m:t>.</m:t>
          </m:r>
        </m:oMath>
      </m:oMathPara>
    </w:p>
    <w:p>
      <w:pPr>
        <w:pStyle w:val="FirstParagraph"/>
      </w:pPr>
      <w:r>
        <w:t xml:space="preserve">The tool computes this integral by</w:t>
      </w:r>
      <w:r>
        <w:t xml:space="preserve"> </w:t>
      </w:r>
      <w:r>
        <w:rPr>
          <w:b/>
          <w:bCs/>
        </w:rPr>
        <w:t xml:space="preserve">deterministic numerical integration</w:t>
      </w:r>
      <w:r>
        <w:t xml:space="preserve"> </w:t>
      </w:r>
      <w:r>
        <w:t xml:space="preserve">of</w:t>
      </w:r>
      <w:r>
        <w:t xml:space="preserve"> </w:t>
      </w:r>
      <w:r>
        <w:t xml:space="preserve">the conditional survival</w:t>
      </w:r>
      <w:r>
        <w:t xml:space="preserve"> </w:t>
      </w:r>
      <m:oMath>
        <m:r>
          <m:t>S</m:t>
        </m:r>
      </m:oMath>
      <w:r>
        <w:t xml:space="preserve"> </w:t>
      </w:r>
      <w:r>
        <w:t xml:space="preserve">(</w:t>
      </w:r>
      <w:r>
        <w:rPr>
          <w:rStyle w:val="VerbatimChar"/>
        </w:rPr>
        <w:t xml:space="preserve">expected_layer_loss</w:t>
      </w:r>
      <w:r>
        <w:t xml:space="preserve"> </w:t>
      </w:r>
      <w:r>
        <w:t xml:space="preserve">in</w:t>
      </w:r>
      <w:r>
        <w:t xml:space="preserve"> </w:t>
      </w:r>
      <w:r>
        <w:rPr>
          <w:rStyle w:val="VerbatimChar"/>
        </w:rPr>
        <w:t xml:space="preserve">validate.R</w:t>
      </w:r>
      <w:r>
        <w:t xml:space="preserve">), so it is</w:t>
      </w:r>
      <w:r>
        <w:t xml:space="preserve"> </w:t>
      </w:r>
      <w:r>
        <w:t xml:space="preserve">genuinely independent of the Monte Carlo path. As the number of simulations</w:t>
      </w:r>
      <w:r>
        <w:t xml:space="preserve"> </w:t>
      </w:r>
      <w:r>
        <w:t xml:space="preserve">grows, the simulated expected loss must converge to this oracle; the dashboard’s</w:t>
      </w:r>
      <w:r>
        <w:t xml:space="preserve"> </w:t>
      </w:r>
      <w:r>
        <w:t xml:space="preserve">Validation table shows both and their difference per layer.</w:t>
      </w:r>
    </w:p>
    <w:p>
      <w:pPr>
        <w:pStyle w:val="BodyText"/>
      </w:pPr>
      <w:r>
        <w:t xml:space="preserve">For a layer that sits entirely in the Pareto tail (</w:t>
      </w:r>
      <m:oMath>
        <m:r>
          <m:t>D</m:t>
        </m:r>
        <m:r>
          <m:rPr>
            <m:sty m:val="p"/>
          </m:rPr>
          <m:t>≥</m:t>
        </m:r>
        <m:r>
          <m:t>s</m:t>
        </m:r>
      </m:oMath>
      <w:r>
        <w:t xml:space="preserve">) the integral has a</w:t>
      </w:r>
      <w:r>
        <w:t xml:space="preserve"> </w:t>
      </w:r>
      <w:r>
        <w:t xml:space="preserve">closed form, which is kept as a unit-test anchor that the numerical integrator</w:t>
      </w:r>
      <w:r>
        <w:t xml:space="preserve"> </w:t>
      </w:r>
      <w:r>
        <w:t xml:space="preserve">must match:</w:t>
      </w:r>
    </w:p>
    <w:p>
      <w:pPr>
        <w:pStyle w:val="BodyText"/>
      </w:pPr>
      <m:oMathPara>
        <m:oMathParaPr>
          <m:jc m:val="center"/>
        </m:oMathParaPr>
        <m:oMath>
          <m:r>
            <m:t>E</m:t>
          </m:r>
          <m:d>
            <m:dPr>
              <m:begChr m:val="["/>
              <m:sepChr m:val=""/>
              <m:endChr m:val="]"/>
              <m:grow/>
            </m:dPr>
            <m:e>
              <m:sSub>
                <m:e>
                  <m:r>
                    <m:t>L</m:t>
                  </m:r>
                </m:e>
                <m:sub>
                  <m:r>
                    <m:t>D</m:t>
                  </m:r>
                  <m:r>
                    <m:rPr>
                      <m:sty m:val="p"/>
                    </m:rPr>
                    <m:t>,</m:t>
                  </m:r>
                  <m:r>
                    <m:t>C</m:t>
                  </m:r>
                </m:sub>
              </m:sSub>
            </m:e>
          </m:d>
          <m:r>
            <m:rPr>
              <m:sty m:val="p"/>
            </m:rPr>
            <m:t>=</m:t>
          </m:r>
          <m:r>
            <m:t>w</m:t>
          </m:r>
          <m:r>
            <m:rPr>
              <m:sty m:val="p"/>
            </m:rPr>
            <m:t>⋅</m:t>
          </m:r>
          <m:f>
            <m:fPr>
              <m:type m:val="bar"/>
            </m:fPr>
            <m:num>
              <m:sSup>
                <m:e>
                  <m:r>
                    <m:t>s</m:t>
                  </m:r>
                </m:e>
                <m:sup>
                  <m:r>
                    <m:t>α</m:t>
                  </m:r>
                </m:sup>
              </m:sSup>
            </m:num>
            <m:den>
              <m:r>
                <m:t>1</m:t>
              </m:r>
              <m:r>
                <m:rPr>
                  <m:sty m:val="p"/>
                </m:rPr>
                <m:t>−</m:t>
              </m:r>
              <m:r>
                <m:t>α</m:t>
              </m:r>
            </m:den>
          </m:f>
          <m:d>
            <m:dPr>
              <m:begChr m:val="["/>
              <m:sepChr m:val=""/>
              <m:endChr m:val="]"/>
              <m:grow/>
            </m:dPr>
            <m:e>
              <m:sSup>
                <m:e>
                  <m:d>
                    <m:dPr>
                      <m:begChr m:val="("/>
                      <m:sepChr m:val=""/>
                      <m:endChr m:val=")"/>
                      <m:grow/>
                    </m:dPr>
                    <m:e>
                      <m:r>
                        <m:t>D</m:t>
                      </m:r>
                      <m:r>
                        <m:rPr>
                          <m:sty m:val="p"/>
                        </m:rPr>
                        <m:t>+</m:t>
                      </m:r>
                      <m:r>
                        <m:t>C</m:t>
                      </m:r>
                    </m:e>
                  </m:d>
                </m:e>
                <m:sup>
                  <m:r>
                    <m:t>1</m:t>
                  </m:r>
                  <m:r>
                    <m:rPr>
                      <m:sty m:val="p"/>
                    </m:rPr>
                    <m:t>−</m:t>
                  </m:r>
                  <m:r>
                    <m:t>α</m:t>
                  </m:r>
                </m:sup>
              </m:sSup>
              <m:r>
                <m:rPr>
                  <m:sty m:val="p"/>
                </m:rPr>
                <m:t>−</m:t>
              </m:r>
              <m:sSup>
                <m:e>
                  <m:r>
                    <m:t>D</m:t>
                  </m:r>
                </m:e>
                <m:sup>
                  <m:r>
                    <m:t>1</m:t>
                  </m:r>
                  <m:r>
                    <m:rPr>
                      <m:sty m:val="p"/>
                    </m:rPr>
                    <m:t>−</m:t>
                  </m:r>
                  <m:r>
                    <m:t>α</m:t>
                  </m:r>
                </m:sup>
              </m:sSup>
            </m:e>
          </m:d>
          <m:r>
            <m:t> </m:t>
          </m:r>
          <m:d>
            <m:dPr>
              <m:begChr m:val="("/>
              <m:sepChr m:val=""/>
              <m:endChr m:val=")"/>
              <m:grow/>
            </m:dPr>
            <m:e>
              <m:r>
                <m:t>α</m:t>
              </m:r>
              <m:r>
                <m:rPr>
                  <m:sty m:val="p"/>
                </m:rPr>
                <m:t>≠</m:t>
              </m:r>
              <m:r>
                <m:t>1</m:t>
              </m:r>
            </m:e>
          </m:d>
          <m:r>
            <m:rPr>
              <m:sty m:val="p"/>
            </m:rPr>
            <m:t>.</m:t>
          </m:r>
        </m:oMath>
      </m:oMathPara>
    </w:p>
    <w:p>
      <w:pPr>
        <w:pStyle w:val="FirstParagraph"/>
      </w:pPr>
      <w:r>
        <w:t xml:space="preserve">This validation applies to the per-layer expected loss; the aggregate features</w:t>
      </w:r>
      <w:r>
        <w:t xml:space="preserve"> </w:t>
      </w:r>
      <w:r>
        <w:t xml:space="preserve">(AAD and AAL) and the volatility and tail metrics come from the simulation only.</w:t>
      </w:r>
    </w:p>
    <w:p>
      <w:pPr>
        <w:pStyle w:val="FirstParagraph"/>
      </w:pPr>
      <w:r>
        <w:t xml:space="preserve">Alongside the oracle, the Validation table also shows the </w:t>
      </w:r>
      <w:r>
        <w:rPr>
          <w:b/>
        </w:rPr>
        <w:t xml:space="preserve">burning cost</w:t>
      </w:r>
      <w:r>
        <w:t xml:space="preserve">: the average annual loss to each layer taken straight from the history, on an as-if basis (every past loss indexed for inflation and corrected for exposure, as if it had happened in the valuation year). Unlike the oracle, this carries no model, so it is the external sense-check. Where the history is thick the modelled expected loss should sit close to it; for a high layer above the historical experience the burning cost reads near zero and the fitted Pareto tail is doing the work, which is exactly where a parametric model earns its keep.</w:t>
      </w:r>
    </w:p>
    <w:bookmarkEnd w:id="36"/>
    <w:bookmarkStart w:id="37" w:name="assumptions-and-limitations"/>
    <w:p>
      <w:pPr>
        <w:pStyle w:val="Heading2"/>
      </w:pPr>
      <w:r>
        <w:t xml:space="preserve">Assumptions and limitations</w:t>
      </w:r>
    </w:p>
    <w:p>
      <w:pPr>
        <w:pStyle w:val="Compact"/>
        <w:numPr>
          <w:ilvl w:val="0"/>
          <w:numId w:val="1013"/>
        </w:numPr>
      </w:pPr>
      <w:r>
        <w:rPr>
          <w:b/>
          <w:bCs/>
        </w:rPr>
        <w:t xml:space="preserve">Short-tail business.</w:t>
      </w:r>
      <w:r>
        <w:t xml:space="preserve"> </w:t>
      </w:r>
      <w:r>
        <w:t xml:space="preserve">The tool assumes losses are essentially fully</w:t>
      </w:r>
      <w:r>
        <w:t xml:space="preserve"> </w:t>
      </w:r>
      <w:r>
        <w:t xml:space="preserve">developed; there is no loss development or IBNR allowance.</w:t>
      </w:r>
    </w:p>
    <w:p>
      <w:pPr>
        <w:pStyle w:val="Compact"/>
        <w:numPr>
          <w:ilvl w:val="0"/>
          <w:numId w:val="1013"/>
        </w:numPr>
      </w:pPr>
      <w:r>
        <w:rPr>
          <w:b/>
          <w:bCs/>
        </w:rPr>
        <w:t xml:space="preserve">Non-proportional only.</w:t>
      </w:r>
      <w:r>
        <w:t xml:space="preserve"> </w:t>
      </w:r>
      <w:r>
        <w:t xml:space="preserve">It prices per-risk excess-of-loss programs.</w:t>
      </w:r>
      <w:r>
        <w:t xml:space="preserve"> </w:t>
      </w:r>
      <w:r>
        <w:t xml:space="preserve">Proportional treaties are not yet supported.</w:t>
      </w:r>
    </w:p>
    <w:p>
      <w:pPr>
        <w:pStyle w:val="Compact"/>
        <w:numPr>
          <w:ilvl w:val="0"/>
          <w:numId w:val="1013"/>
        </w:numPr>
      </w:pPr>
      <w:r>
        <w:rPr>
          <w:b/>
          <w:bCs/>
        </w:rPr>
        <w:t xml:space="preserve">No reinstatements.</w:t>
      </w:r>
      <w:r>
        <w:t xml:space="preserve"> </w:t>
      </w:r>
      <w:r>
        <w:t xml:space="preserve">The annual aggregate is the sum of per-loss recoveries</w:t>
      </w:r>
      <w:r>
        <w:t xml:space="preserve"> </w:t>
      </w:r>
      <w:r>
        <w:t xml:space="preserve">subject to AAD then AAL.</w:t>
      </w:r>
    </w:p>
    <w:p>
      <w:pPr>
        <w:pStyle w:val="Compact"/>
        <w:numPr>
          <w:ilvl w:val="0"/>
          <w:numId w:val="1013"/>
        </w:numPr>
      </w:pPr>
      <w:r>
        <w:rPr>
          <w:b/>
          <w:bCs/>
        </w:rPr>
        <w:t xml:space="preserve">No catastrophe model or exposure curves.</w:t>
      </w:r>
      <w:r>
        <w:t xml:space="preserve"> </w:t>
      </w:r>
      <w:r>
        <w:t xml:space="preserve">Pricing is purely experience</w:t>
      </w:r>
      <w:r>
        <w:t xml:space="preserve"> </w:t>
      </w:r>
      <w:r>
        <w:t xml:space="preserve">based; there are no exposure rating curves or natural catastrophe models.</w:t>
      </w:r>
    </w:p>
    <w:p>
      <w:pPr>
        <w:pStyle w:val="Compact"/>
        <w:numPr>
          <w:ilvl w:val="0"/>
          <w:numId w:val="1013"/>
        </w:numPr>
      </w:pPr>
      <w:r>
        <w:rPr>
          <w:b/>
          <w:bCs/>
        </w:rPr>
        <w:t xml:space="preserve">Distribution selection.</w:t>
      </w:r>
      <w:r>
        <w:t xml:space="preserve"> </w:t>
      </w:r>
      <w:r>
        <w:t xml:space="preserve">The frequency class is chosen by the user, not</w:t>
      </w:r>
      <w:r>
        <w:t xml:space="preserve"> </w:t>
      </w:r>
      <w:r>
        <w:t xml:space="preserve">selected from the data, because reinsurance data is typically too sparse to</w:t>
      </w:r>
      <w:r>
        <w:t xml:space="preserve"> </w:t>
      </w:r>
      <w:r>
        <w:t xml:space="preserve">support that choice.</w:t>
      </w:r>
    </w:p>
    <w:p>
      <w:r>
        <w:pict>
          <v:rect style="width:0;height:1.5pt" o:hralign="center" o:hrstd="t" o:hr="t"/>
        </w:pict>
      </w:r>
    </w:p>
    <w:bookmarkEnd w:id="37"/>
    <w:bookmarkEnd w:id="38"/>
    <w:p>
      <w:pPr>
        <w:pStyle w:val="Heading2"/>
      </w:pPr>
      <w:r>
        <w:t xml:space="preserve">Future work</w:t>
      </w:r>
    </w:p>
    <w:p>
      <w:pPr>
        <w:pStyle w:val="FirstParagraph"/>
      </w:pPr>
      <w:r>
        <w:t xml:space="preserve">Several extensions were planned but deferred from v1, and the engine was structured to accommodate them without rework: proportional treaties (quota share and surplus), loss development and IBNR for long-tail lines, exposure rating curves for low-data lines, and portfolio aggregation across several lines of business (v1 prices a single book at a time).</w:t>
      </w:r>
    </w:p>
    <w:bookmarkStart w:id="39" w:name="references"/>
    <w:p>
      <w:pPr>
        <w:pStyle w:val="Heading1"/>
      </w:pPr>
      <w:r>
        <w:t xml:space="preserve">References</w:t>
      </w:r>
    </w:p>
    <w:p>
      <w:pPr>
        <w:pStyle w:val="Compact"/>
        <w:numPr>
          <w:ilvl w:val="0"/>
          <w:numId w:val="1014"/>
        </w:numPr>
      </w:pPr>
      <w:r>
        <w:t xml:space="preserve">P. Arbenz,</w:t>
      </w:r>
      <w:r>
        <w:t xml:space="preserve"> </w:t>
      </w:r>
      <w:r>
        <w:rPr>
          <w:i/>
          <w:iCs/>
        </w:rPr>
        <w:t xml:space="preserve">Reinsurance Analytics</w:t>
      </w:r>
      <w:r>
        <w:t xml:space="preserve">, FS 2026, Section 2.8 (experience pricing).</w:t>
      </w:r>
      <w:r>
        <w:t xml:space="preserve"> </w:t>
      </w:r>
      <w:r>
        <w:t xml:space="preserve">This third-party material is kept locally and is not distributed with the</w:t>
      </w:r>
      <w:r>
        <w:t xml:space="preserve"> </w:t>
      </w:r>
      <w:r>
        <w:t xml:space="preserve">tool.</w:t>
      </w:r>
    </w:p>
    <w:p>
      <w:pPr>
        <w:pStyle w:val="Compact"/>
        <w:numPr>
          <w:ilvl w:val="0"/>
          <w:numId w:val="1014"/>
        </w:numPr>
      </w:pPr>
      <w:r>
        <w:t xml:space="preserve">The design and methodology are documented here; the implementation is in the R modules under</w:t>
      </w:r>
      <w:r>
        <w:t xml:space="preserve"> </w:t>
      </w:r>
      <w:r>
        <w:rPr>
          <w:rStyle w:val="VerbatimChar"/>
        </w:rPr>
        <w:t xml:space="preserve">engine/R/</w:t>
      </w:r>
      <w:r>
        <w:t xml:space="preserve">, each with a matching test under </w:t>
      </w:r>
      <w:r>
        <w:rPr>
          <w:rStyle w:val="VerbatimChar"/>
        </w:rPr>
        <w:t xml:space="preserve">engine/tests/testthat/</w:t>
      </w:r>
      <w:r>
        <w:t xml:space="preserv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Paco’s Pricing Pipeline</dc:title>
  <dc:creator>Francisco Martinez Checa</dc:creator>
  <cp:keywords/>
  <dcterms:created xsi:type="dcterms:W3CDTF">2026-06-27T20:31:57Z</dcterms:created>
  <dcterms:modified xsi:type="dcterms:W3CDTF">2026-06-27T20:31:57Z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Technical and Actuarial Documentation</vt:lpwstr>
  </property>
</Properties>
</file>