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The modelling threshold has no fixed</w:t>
      </w:r>
      <w:r>
        <w:t xml:space="preserve"> </w:t>
      </w:r>
      <w:r>
        <w:t xml:space="preserve">built-in default: when neither the dashboard nor the workbook sets it, it starts</w:t>
      </w:r>
      <w:r>
        <w:t xml:space="preserve"> </w:t>
      </w:r>
      <w:r>
        <w:t xml:space="preserve">at the smallest loss in the history, so the model includes every loss until you</w:t>
      </w:r>
      <w:r>
        <w:t xml:space="preserve"> </w:t>
      </w:r>
      <w:r>
        <w:t xml:space="preserve">raise it.</w:t>
      </w:r>
    </w:p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2026-06-28T18:50:37Z</dcterms:created>
  <dcterms:modified xsi:type="dcterms:W3CDTF">2026-06-28T18:50:37Z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