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layer loss by the</w:t>
      </w:r>
      <w:r>
        <w:t xml:space="preserve"> </w:t>
      </w:r>
      <w:r>
        <w:t xml:space="preserve">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 volume</w:t>
      </w:r>
      <w:r>
        <w:t xml:space="preserve"> </w:t>
      </w:r>
      <w:r>
        <w:t xml:space="preserve">adjustment to the year’s total layer loss, not a change to individual loss</w:t>
      </w:r>
      <w:r>
        <w:t xml:space="preserve"> </w:t>
      </w:r>
      <w:r>
        <w:t xml:space="preserve">sizes. (The dashboard’s information panels explain these exposure roles to the</w:t>
      </w:r>
      <w:r>
        <w:t xml:space="preserve"> </w:t>
      </w:r>
      <w:r>
        <w:t xml:space="preserve">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2026-06-29T13:53:32Z</dcterms:created>
  <dcterms:modified xsi:type="dcterms:W3CDTF">2026-06-29T13:53:32Z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