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parameters</w:t>
      </w:r>
      <w:r>
        <w:t xml:space="preserve"> </w:t>
      </w:r>
      <w:r>
        <w:t xml:space="preserve">(key and value rows; only the data parameters live here,</w:t>
      </w:r>
      <w:r>
        <w:t xml:space="preserve"> </w:t>
      </w:r>
      <w:r>
        <w:t xml:space="preserve">the modelling choices are set in the dashboard):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339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losses below this are not present in the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</w:t>
      </w:r>
    </w:p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indexed for inflation and corrected for exposure, as if it</w:t>
      </w:r>
      <w:r>
        <w:t xml:space="preserve"> </w:t>
      </w:r>
      <w:r>
        <w:t xml:space="preserve">had happened in the valuation year). Unlike the oracle, this carries no model, so</w:t>
      </w:r>
      <w:r>
        <w:t xml:space="preserve"> </w:t>
      </w:r>
      <w:r>
        <w:t xml:space="preserve">it is the external 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2026-06-28T16:13:09Z</dcterms:created>
  <dcterms:modified xsi:type="dcterms:W3CDTF">2026-06-28T16:13:09Z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