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revalued to the valuation year for</w:t>
      </w:r>
      <w:r>
        <w:t xml:space="preserve"> </w:t>
      </w:r>
      <w:r>
        <w:t xml:space="preserve">inflation and for the change in exposure, so old losses are stated in</w:t>
      </w:r>
      <w:r>
        <w:t xml:space="preserve"> </w:t>
      </w:r>
      <w:r>
        <w:t xml:space="preserve">today’s money and today’s book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and the design spec and plan.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parameters</w:t>
      </w:r>
      <w:r>
        <w:t xml:space="preserve"> </w:t>
      </w:r>
      <w:r>
        <w:t xml:space="preserve">(key and value rows; only the data parameters live here,</w:t>
      </w:r>
      <w:r>
        <w:t xml:space="preserve"> </w:t>
      </w:r>
      <w:r>
        <w:t xml:space="preserve">the modelling choices are set in the dashboard):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339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losses below this are not present in the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</w:t>
      </w:r>
    </w:p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indexation, exposure correction,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sampler, mean excess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different book sizes. Two adjustments revalue</w:t>
      </w:r>
      <w:r>
        <w:t xml:space="preserve"> </w:t>
      </w:r>
      <w:r>
        <w:t xml:space="preserve">each loss to the valuation year.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Exposure correction (on-levelling).</w:t>
      </w:r>
      <w:r>
        <w:t xml:space="preserve"> </w:t>
      </w:r>
      <w:r>
        <w:t xml:space="preserve">The size of a loss is also scaled by how</w:t>
      </w:r>
      <w:r>
        <w:t xml:space="preserve"> </w:t>
      </w:r>
      <w:r>
        <w:t xml:space="preserve">the book grew or shrank between the loss year and the valuation year: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exposure in year</w:t>
      </w:r>
      <w:r>
        <w:t xml:space="preserve"> </w:t>
      </w:r>
      <m:oMath>
        <m:r>
          <m:t>y</m:t>
        </m:r>
      </m:oMath>
      <w:r>
        <w:t xml:space="preserve">. This is</w:t>
      </w:r>
      <w:r>
        <w:t xml:space="preserve"> </w:t>
      </w:r>
      <w:r>
        <w:rPr>
          <w:rStyle w:val="VerbatimChar"/>
        </w:rPr>
        <w:t xml:space="preserve">exposure_factor</w:t>
      </w:r>
      <w:r>
        <w:t xml:space="preserve">.</w:t>
      </w:r>
    </w:p>
    <w:p>
      <w:pPr>
        <w:pStyle w:val="BodyText"/>
      </w:pPr>
      <w:r>
        <w:t xml:space="preserve">The indexed loss used everywhere downstream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and frequency.</w:t>
      </w:r>
      <w:r>
        <w:t xml:space="preserve"> </w:t>
      </w:r>
      <w:r>
        <w:t xml:space="preserve">Exposure plays a second, separate role. A larger</w:t>
      </w:r>
      <w:r>
        <w:t xml:space="preserve"> </w:t>
      </w:r>
      <w:r>
        <w:t xml:space="preserve">prospective book is expected to produce proportionally more claims, so the</w:t>
      </w:r>
      <w:r>
        <w:t xml:space="preserve"> </w:t>
      </w:r>
      <w:r>
        <w:t xml:space="preserve">fitted frequency is scaled by the forward book size relative to the average book</w:t>
      </w:r>
      <w:r>
        <w:t xml:space="preserve"> </w:t>
      </w:r>
      <w:r>
        <w:t xml:space="preserve">size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(The dashboard’s information panels now explain both of these exposure</w:t>
      </w:r>
      <w:r>
        <w:t xml:space="preserve"> </w:t>
      </w:r>
      <w:r>
        <w:t xml:space="preserve">roles 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a</w:t>
      </w:r>
      <w:r>
        <w:t xml:space="preserve"> </w:t>
      </w:r>
      <w:r>
        <w:rPr>
          <w:b/>
          <w:bCs/>
        </w:rPr>
        <w:t xml:space="preserve">mean excess plot</w:t>
      </w:r>
      <w:r>
        <w:t xml:space="preserve">, the empirical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u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u</m:t>
            </m:r>
          </m:e>
        </m:d>
      </m:oMath>
      <w:r>
        <w:t xml:space="preserve">, which is roughly linear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where a</w:t>
      </w:r>
      <w:r>
        <w:t xml:space="preserve"> </w:t>
      </w:r>
      <w:r>
        <w:t xml:space="preserve">Pareto tail fits well; this helps the user choose where the tail begins. It also</w:t>
      </w:r>
      <w:r>
        <w:t xml:space="preserve"> </w:t>
      </w:r>
      <w:r>
        <w:t xml:space="preserve">shows the fitted versus empirical severity CDF.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full design specification and implementation plan are in</w:t>
      </w:r>
      <w:r>
        <w:t xml:space="preserve"> </w:t>
      </w:r>
      <w:r>
        <w:rPr>
          <w:rStyle w:val="VerbatimChar"/>
        </w:rPr>
        <w:t xml:space="preserve">engine/docs/superpowers/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2026-06-27T20:31:57Z</dcterms:created>
  <dcterms:modified xsi:type="dcterms:W3CDTF">2026-06-27T20:31:57Z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