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trended to the valuation year for</w:t>
      </w:r>
      <w:r>
        <w:t xml:space="preserve"> </w:t>
      </w:r>
      <w:r>
        <w:t xml:space="preserve">loss inflation, so old losses are stated in today’s money. The change in book</w:t>
      </w:r>
      <w:r>
        <w:t xml:space="preserve"> </w:t>
      </w:r>
      <w:r>
        <w:t xml:space="preserve">size is handled separately, on the frequency side (exposure is a volume</w:t>
      </w:r>
      <w:r>
        <w:t xml:space="preserve"> </w:t>
      </w:r>
      <w:r>
        <w:t xml:space="preserve">measure).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Reinsurance 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</w:t>
      </w:r>
      <w:r>
        <w:t xml:space="preserve"> </w:t>
      </w:r>
      <w:r>
        <w:t xml:space="preserve">Excel). All fitting uses base R (</w:t>
      </w:r>
      <w:r>
        <w:rPr>
          <w:rStyle w:val="VerbatimChar"/>
        </w:rPr>
        <w:t xml:space="preserve">stats</w:t>
      </w:r>
      <w:r>
        <w:t xml:space="preserve">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 run</w:t>
      </w:r>
      <w:r>
        <w:t xml:space="preserve"> </w:t>
      </w:r>
      <w:r>
        <w:t xml:space="preserve">the test suite. These are installed automatically on first run (see 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runs with no console window and opens the dashboard in the default</w:t>
      </w:r>
      <w:r>
        <w:t xml:space="preserve"> </w:t>
      </w:r>
      <w:r>
        <w:t xml:space="preserve">browser.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p>
      <w:pPr>
        <w:pStyle w:val="BodyText"/>
      </w:pPr>
      <w:r>
        <w:t xml:space="preserve">Some company computers block script files (</w:t>
      </w:r>
      <w:r>
        <w:rPr>
          <w:rStyle w:val="VerbatimChar"/>
        </w:rPr>
        <w:t xml:space="preserve">.vbs</w:t>
      </w:r>
      <w:r>
        <w:t xml:space="preserve">) outright, so</w:t>
      </w:r>
      <w:r>
        <w:t xml:space="preserve"> </w:t>
      </w:r>
      <w:r>
        <w:t xml:space="preserve">double-clicking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does nothing.</w:t>
      </w:r>
      <w:r>
        <w:t xml:space="preserve"> </w:t>
      </w:r>
      <w:r>
        <w:rPr>
          <w:rStyle w:val="VerbatimChar"/>
        </w:rPr>
        <w:t xml:space="preserve">Start in RStudio.R</w:t>
      </w:r>
      <w:r>
        <w:t xml:space="preserve">, in the same top</w:t>
      </w:r>
      <w:r>
        <w:t xml:space="preserve"> </w:t>
      </w:r>
      <w:r>
        <w:t xml:space="preserve">folder, is the fallback for that case: open it in RStudio and click Source (or</w:t>
      </w:r>
      <w:r>
        <w:t xml:space="preserve"> </w:t>
      </w:r>
      <w:r>
        <w:t xml:space="preserve">press Ctrl+Shift+S). It does the same job as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, just launched through</w:t>
      </w:r>
      <w:r>
        <w:t xml:space="preserve"> </w:t>
      </w:r>
      <w:r>
        <w:t xml:space="preserve">R itself rather than a script file, which those blocks do not touch. It finds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folder next to itself, installs any missing packages the same way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 </w:t>
      </w:r>
      <w:r>
        <w:t xml:space="preserve">does, and opens the dashboard in the browser.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Double-click launcher; runs with no console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in RStudio.R</w:t>
            </w:r>
          </w:p>
        </w:tc>
        <w:tc>
          <w:tcPr/>
          <w:p>
            <w:pPr>
              <w:pStyle w:val="Compact"/>
            </w:pPr>
            <w:r>
              <w:t xml:space="preserve">Fallback launcher for when</w:t>
            </w:r>
            <w:r>
              <w:t xml:space="preserve"> </w:t>
            </w:r>
            <w:r>
              <w:rPr>
                <w:rStyle w:val="VerbatimChar"/>
              </w:rPr>
              <w:t xml:space="preserve">.vbs</w:t>
            </w:r>
            <w:r>
              <w:t xml:space="preserve"> </w:t>
            </w:r>
            <w:r>
              <w:t xml:space="preserve">files are blocked; run from inside RStudio.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rPr>
          <w:b/>
          <w:bCs/>
        </w:rPr>
        <w:t xml:space="preserve">The everyday way is to just double-click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start.vbs</w:t>
      </w:r>
      <w:r>
        <w:rPr>
          <w:b/>
          <w:bCs/>
        </w:rPr>
        <w:t xml:space="preserve">.</w:t>
      </w:r>
      <w:r>
        <w:t xml:space="preserve"> </w:t>
      </w:r>
      <w:r>
        <w:t xml:space="preserve">That is all an end</w:t>
      </w:r>
      <w:r>
        <w:t xml:space="preserve"> </w:t>
      </w:r>
      <w:r>
        <w:t xml:space="preserve">user needs to do: it installs anything missing on the first run and opens the</w:t>
      </w:r>
      <w:r>
        <w:t xml:space="preserve"> </w:t>
      </w:r>
      <w:r>
        <w:t xml:space="preserve">dashboard in the browser (see Installation and first run above).</w:t>
      </w:r>
      <w:r>
        <w:t xml:space="preserve"> </w:t>
      </w:r>
      <w:r>
        <w:t xml:space="preserve">No commands and no R knowledge are required. If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files are blocked</w:t>
      </w:r>
      <w:r>
        <w:t xml:space="preserve"> </w:t>
      </w:r>
      <w:r>
        <w:t xml:space="preserve">on the machine, open</w:t>
      </w:r>
      <w:r>
        <w:t xml:space="preserve"> </w:t>
      </w:r>
      <w:r>
        <w:rPr>
          <w:rStyle w:val="VerbatimChar"/>
        </w:rPr>
        <w:t xml:space="preserve">Start in RStudio.R</w:t>
      </w:r>
      <w:r>
        <w:t xml:space="preserve"> </w:t>
      </w:r>
      <w:r>
        <w:t xml:space="preserve">in RStudio and click Source instead;</w:t>
      </w:r>
      <w:r>
        <w:t xml:space="preserve"> </w:t>
      </w:r>
      <w:r>
        <w:t xml:space="preserve">it does the same job through R rather than a script file.</w:t>
      </w:r>
    </w:p>
    <w:p>
      <w:pPr>
        <w:pStyle w:val="BodyText"/>
      </w:pPr>
      <w:r>
        <w:t xml:space="preserve">The rest of this section is for developers and advanced use only, and needs</w:t>
      </w:r>
      <w:r>
        <w:t xml:space="preserve"> </w:t>
      </w:r>
      <w:r>
        <w:t xml:space="preserve">the full source repository, not the release zip, since the release zip only</w:t>
      </w:r>
      <w:r>
        <w:t xml:space="preserve"> </w:t>
      </w:r>
      <w:r>
        <w:t xml:space="preserve">ships what an end user needs to run the tool and leaves out the test suite</w:t>
      </w:r>
      <w:r>
        <w:t xml:space="preserve"> </w:t>
      </w:r>
      <w:r>
        <w:t xml:space="preserve">and other developer-only files. These commands all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"shiny::runApp('.', launch.browser = TRUE)"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  <w:r>
        <w:t xml:space="preserve"> </w:t>
      </w:r>
      <w:r>
        <w:rPr>
          <w:rStyle w:val="VerbatimChar"/>
        </w:rPr>
        <w:t xml:space="preserve">launch.browser = TRUE</w:t>
      </w:r>
      <w:r>
        <w:t xml:space="preserve"> </w:t>
      </w:r>
      <w:r>
        <w:t xml:space="preserve">is</w:t>
      </w:r>
      <w:r>
        <w:t xml:space="preserve"> </w:t>
      </w:r>
      <w:r>
        <w:t xml:space="preserve">needed here because Shiny only opens a browser tab on its own in an</w:t>
      </w:r>
      <w:r>
        <w:t xml:space="preserve"> </w:t>
      </w:r>
      <w:r>
        <w:t xml:space="preserve">interactive session, and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is not interactive.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 </w:t>
      </w:r>
      <w:r>
        <w:t xml:space="preserve">(requires the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package, and the</w:t>
      </w:r>
      <w:r>
        <w:t xml:space="preserve"> </w:t>
      </w:r>
      <w:r>
        <w:rPr>
          <w:rStyle w:val="VerbatimChar"/>
        </w:rPr>
        <w:t xml:space="preserve">engine/tests/</w:t>
      </w:r>
      <w:r>
        <w:t xml:space="preserve"> </w:t>
      </w:r>
      <w:r>
        <w:t xml:space="preserve">folder, which is only in the source</w:t>
      </w:r>
      <w:r>
        <w:t xml:space="preserve"> </w:t>
      </w:r>
      <w:r>
        <w:t xml:space="preserve">repository).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loss size above which the data is complete; indexed to the valuation year it bounds the modelling threshold from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last_complete_year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last year with complete loss data; it ends the frequency and burning cost window (defaults to the latest loss year)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t xml:space="preserve">On load,</w:t>
      </w:r>
      <w:r>
        <w:t xml:space="preserve"> </w:t>
      </w:r>
      <w:r>
        <w:rPr>
          <w:rStyle w:val="VerbatimChar"/>
        </w:rPr>
        <w:t xml:space="preserve">read_input</w:t>
      </w:r>
      <w:r>
        <w:t xml:space="preserve"> </w:t>
      </w:r>
      <w:r>
        <w:t xml:space="preserve">checks the workbook and refuses data the pipeline cannot</w:t>
      </w:r>
      <w:r>
        <w:t xml:space="preserve"> </w:t>
      </w:r>
      <w:r>
        <w:t xml:space="preserve">price safely, with a plain message naming the sheet to fix: missing or</w:t>
      </w:r>
      <w:r>
        <w:t xml:space="preserve"> </w:t>
      </w:r>
      <w:r>
        <w:t xml:space="preserve">non-positive losses, missing years, duplicate exposure or inflation years,</w:t>
      </w:r>
      <w:r>
        <w:t xml:space="preserve"> </w:t>
      </w:r>
      <w:r>
        <w:t xml:space="preserve">non-positive exposures, loss years with no exposure row, and inflation that</w:t>
      </w:r>
      <w:r>
        <w:t xml:space="preserve"> </w:t>
      </w:r>
      <w:r>
        <w:t xml:space="preserve">does not cover the span from the oldest loss to the valuation year. Losses at</w:t>
      </w:r>
      <w:r>
        <w:t xml:space="preserve"> </w:t>
      </w:r>
      <w:r>
        <w:t xml:space="preserve">or below the reporting threshold are accepted but flagged with a warning on</w:t>
      </w:r>
      <w:r>
        <w:t xml:space="preserve"> </w:t>
      </w:r>
      <w:r>
        <w:t xml:space="preserve">the Data step, since they contradict the declared completeness threshold.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four-sheet workbook (the same builder serves</w:t>
      </w:r>
      <w:r>
        <w:t xml:space="preserve"> </w:t>
      </w:r>
      <w:r>
        <w:t xml:space="preserve">both paths, so the two exports never drift apart):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and both premiums.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validation</w:t>
      </w:r>
      <w:r>
        <w:t xml:space="preserve">: the simulated against closed-form expected loss, their</w:t>
      </w:r>
      <w:r>
        <w:t xml:space="preserve"> </w:t>
      </w:r>
      <w:r>
        <w:t xml:space="preserve">delta, and the burning cost benchmark.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</w:t>
      </w:r>
      <w:r>
        <w:t xml:space="preserve">: an echo of the priced layer structure with its full terms</w:t>
      </w:r>
      <w:r>
        <w:t xml:space="preserve"> </w:t>
      </w:r>
      <w:r>
        <w:t xml:space="preserve">(deductible, cover, AAD, AAL).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settings and the fitted parameters</w:t>
      </w:r>
      <w:r>
        <w:t xml:space="preserve"> </w:t>
      </w:r>
      <w:r>
        <w:t xml:space="preserve">(expected claims, Pareto alpha, lognormal body, tail weight, seed), so a</w:t>
      </w:r>
      <w:r>
        <w:t xml:space="preserve"> </w:t>
      </w:r>
      <w:r>
        <w:t xml:space="preserve">result can be reconstructed from the file alone.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inflation indexation, exposure scaling,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report.R</w:t>
            </w:r>
          </w:p>
        </w:tc>
        <w:tc>
          <w:tcPr/>
          <w:p>
            <w:pPr>
              <w:pStyle w:val="Compact"/>
            </w:pPr>
            <w:r>
              <w:t xml:space="preserve">shared display formatters, so the dashboard tables and the Excel report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template.R</w:t>
            </w:r>
          </w:p>
        </w:tc>
        <w:tc>
          <w:tcPr/>
          <w:p>
            <w:pPr>
              <w:pStyle w:val="Compact"/>
            </w:pPr>
            <w:r>
              <w:t xml:space="preserve">build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 (used by the launcher and the Generate template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in books of different sizes. Loss inflation is</w:t>
      </w:r>
      <w:r>
        <w:t xml:space="preserve"> </w:t>
      </w:r>
      <w:r>
        <w:t xml:space="preserve">handled by revaluing each loss size; exposure is handled separately, on the</w:t>
      </w:r>
      <w:r>
        <w:t xml:space="preserve"> </w:t>
      </w:r>
      <w:r>
        <w:t xml:space="preserve">frequency side, because it is a volume measure.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 The inflation-trended loss that both the severity fit and the</w:t>
      </w:r>
      <w:r>
        <w:t xml:space="preserve"> </w:t>
      </w:r>
      <w:r>
        <w:t xml:space="preserve">frequency count read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The reporting threshold must be indexed too.</w:t>
      </w:r>
      <w:r>
        <w:t xml:space="preserve"> </w:t>
      </w:r>
      <w:r>
        <w:t xml:space="preserve">The data is complete above the</w:t>
      </w:r>
      <w:r>
        <w:t xml:space="preserve"> </w:t>
      </w:r>
      <w:r>
        <w:t xml:space="preserve">reporting threshold in each loss year’s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money. Once losses are indexed,</w:t>
      </w:r>
      <w:r>
        <w:t xml:space="preserve"> </w:t>
      </w:r>
      <w:r>
        <w:t xml:space="preserve">that guarantee only holds above the threshold indexed the same way, so the</w:t>
      </w:r>
      <w:r>
        <w:t xml:space="preserve"> </w:t>
      </w:r>
      <w:r>
        <w:t xml:space="preserve">floor for the modelling threshold is the reporting threshold times the largest</w:t>
      </w:r>
      <w:r>
        <w:t xml:space="preserve"> </w:t>
      </w:r>
      <w:r>
        <w:t xml:space="preserve">inflation factor across the observed years (with positive inflation, the</w:t>
      </w:r>
      <w:r>
        <w:t xml:space="preserve"> </w:t>
      </w:r>
      <w:r>
        <w:t xml:space="preserve">earliest year):</w:t>
      </w:r>
      <w:r>
        <w:t xml:space="preserve"> </w:t>
      </w:r>
      <m:oMath>
        <m:r>
          <m:t>R</m:t>
        </m:r>
        <m:r>
          <m:t>T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max</m:t>
            </m:r>
          </m:e>
          <m:sub>
            <m:r>
              <m:t>y</m:t>
            </m:r>
          </m:sub>
        </m:sSub>
        <m:sSubSup>
          <m:e>
            <m:r>
              <m:t>f</m:t>
            </m:r>
          </m:e>
          <m:sub>
            <m:r>
              <m:t>y</m:t>
            </m:r>
          </m:sub>
          <m:sup>
            <m:r>
              <m:t>i</m:t>
            </m:r>
            <m:r>
              <m:t>n</m:t>
            </m:r>
            <m:r>
              <m:t>f</m:t>
            </m:r>
            <m:r>
              <m:t>l</m:t>
            </m:r>
          </m:sup>
        </m:sSubSup>
      </m:oMath>
      <w:r>
        <w:t xml:space="preserve">. Modelling below this floor</w:t>
      </w:r>
      <w:r>
        <w:t xml:space="preserve"> </w:t>
      </w:r>
      <w:r>
        <w:t xml:space="preserve">understates the frequency, because losses that would index above MT were never</w:t>
      </w:r>
      <w:r>
        <w:t xml:space="preserve"> </w:t>
      </w:r>
      <w:r>
        <w:t xml:space="preserve">recorded in the early years. This is</w:t>
      </w:r>
      <w:r>
        <w:t xml:space="preserve"> </w:t>
      </w:r>
      <w:r>
        <w:rPr>
          <w:rStyle w:val="VerbatimChar"/>
        </w:rPr>
        <w:t xml:space="preserve">indexed_reporting_threshold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; the dashboard clamps the modelling threshold to it, and the</w:t>
      </w:r>
      <w:r>
        <w:t xml:space="preserve"> </w:t>
      </w:r>
      <w:r>
        <w:t xml:space="preserve">headless path warns when a supplied threshold sits below it.</w:t>
      </w:r>
    </w:p>
    <w:p>
      <w:pPr>
        <w:pStyle w:val="BodyText"/>
      </w:pPr>
      <w:r>
        <w:rPr>
          <w:b/>
          <w:bCs/>
        </w:rPr>
        <w:t xml:space="preserve">Exposure drives frequency, not severity.</w:t>
      </w:r>
      <w:r>
        <w:t xml:space="preserve"> </w:t>
      </w:r>
      <w:r>
        <w:t xml:space="preserve">Exposure is a volume measure (for</w:t>
      </w:r>
      <w:r>
        <w:t xml:space="preserve"> </w:t>
      </w:r>
      <w:r>
        <w:t xml:space="preserve">example the number of risks or buildings insured): it governs how many claims</w:t>
      </w:r>
      <w:r>
        <w:t xml:space="preserve"> </w:t>
      </w:r>
      <w:r>
        <w:t xml:space="preserve">happen, not how big each one is, so it is deliberately not applied to the loss</w:t>
      </w:r>
      <w:r>
        <w:t xml:space="preserve"> </w:t>
      </w:r>
      <w:r>
        <w:t xml:space="preserve">size. A larger prospective book is expected to produce proportionally more</w:t>
      </w:r>
      <w:r>
        <w:t xml:space="preserve"> </w:t>
      </w:r>
      <w:r>
        <w:t xml:space="preserve">claims, so the fitted frequency is scaled by the forward book size relative to</w:t>
      </w:r>
      <w:r>
        <w:t xml:space="preserve"> </w:t>
      </w:r>
      <w:r>
        <w:t xml:space="preserve">the average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Treating exposure this way matches standard experience rating, where loss</w:t>
      </w:r>
      <w:r>
        <w:t xml:space="preserve"> </w:t>
      </w:r>
      <w:r>
        <w:t xml:space="preserve">amounts are trended for inflation and exposure adjusts the claim count (or, as a</w:t>
      </w:r>
      <w:r>
        <w:t xml:space="preserve"> </w:t>
      </w:r>
      <w:r>
        <w:t xml:space="preserve">rate, the denominator), not the size of each loss.</w:t>
      </w:r>
    </w:p>
    <w:p>
      <w:pPr>
        <w:pStyle w:val="BodyText"/>
      </w:pPr>
      <w:r>
        <w:rPr>
          <w:b/>
          <w:bCs/>
        </w:rPr>
        <w:t xml:space="preserve">Burning cost on-levelling.</w:t>
      </w:r>
      <w:r>
        <w:t xml:space="preserve"> </w:t>
      </w:r>
      <w:r>
        <w:t xml:space="preserve">The empirical burning cost benchmark (below) is</w:t>
      </w:r>
      <w:r>
        <w:t xml:space="preserve"> </w:t>
      </w:r>
      <w:r>
        <w:t xml:space="preserve">put on the same forward book by scaling each observed year’s aggregate of layer</w:t>
      </w:r>
      <w:r>
        <w:t xml:space="preserve"> </w:t>
      </w:r>
      <w:r>
        <w:t xml:space="preserve">recoveries by the exposure ratio</w:t>
      </w:r>
      <w:r>
        <w:t xml:space="preserve"> </w:t>
      </w:r>
      <m:oMath>
        <m:sSub>
          <m:e>
            <m:r>
              <m:t>E</m:t>
            </m:r>
          </m:e>
          <m:sub>
            <m:r>
              <m:t>V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exposure_factor</w:t>
      </w:r>
      <w:r>
        <w:t xml:space="preserve">). This is again a</w:t>
      </w:r>
      <w:r>
        <w:t xml:space="preserve"> </w:t>
      </w:r>
      <w:r>
        <w:t xml:space="preserve">volume adjustment, not a change to individual loss sizes. The scaling is applied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annual aggregate deductible and limit, so those caps still bind on</w:t>
      </w:r>
      <w:r>
        <w:t xml:space="preserve"> </w:t>
      </w:r>
      <w:r>
        <w:t xml:space="preserve">the on-levelled figure (scaling after the cap could push the result above an</w:t>
      </w:r>
      <w:r>
        <w:t xml:space="preserve"> </w:t>
      </w:r>
      <w:r>
        <w:t xml:space="preserve">AAL). The average is taken over the observed years, the same window the frequency</w:t>
      </w:r>
      <w:r>
        <w:t xml:space="preserve"> </w:t>
      </w:r>
      <w:r>
        <w:t xml:space="preserve">uses, so a year with no losses counts as a zero rather than being dropped from</w:t>
      </w:r>
      <w:r>
        <w:t xml:space="preserve"> </w:t>
      </w:r>
      <w:r>
        <w:t xml:space="preserve">the denominator. (The dashboard’s information panels explain these exposure roles</w:t>
      </w:r>
      <w:r>
        <w:t xml:space="preserve"> </w:t>
      </w:r>
      <w:r>
        <w:t xml:space="preserve">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observation window runs over the exposure years up to the</w:t>
      </w:r>
      <w:r>
        <w:t xml:space="preserve"> </w:t>
      </w:r>
      <w:r>
        <w:t xml:space="preserve">declared last complete experience year (</w:t>
      </w:r>
      <w:r>
        <w:rPr>
          <w:rStyle w:val="VerbatimChar"/>
        </w:rPr>
        <w:t xml:space="preserve">observation_years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). When no such year is declared, the window ends at the latest</w:t>
      </w:r>
      <w:r>
        <w:t xml:space="preserve"> </w:t>
      </w:r>
      <w:r>
        <w:t xml:space="preserve">loss year; declaring it matters because the latest loss year is itself random:</w:t>
      </w:r>
      <w:r>
        <w:t xml:space="preserve"> </w:t>
      </w:r>
      <w:r>
        <w:t xml:space="preserve">a genuine zero-loss final year would otherwise be dropped (overstating the</w:t>
      </w:r>
      <w:r>
        <w:t xml:space="preserve"> </w:t>
      </w:r>
      <w:r>
        <w:t xml:space="preserve">frequency) and a partially observed final year would be counted in full</w:t>
      </w:r>
      <w:r>
        <w:t xml:space="preserve"> </w:t>
      </w:r>
      <w:r>
        <w:t xml:space="preserve">(understating it). The user can choose one of three distributions; Poisson is</w:t>
      </w:r>
      <w:r>
        <w:t xml:space="preserve"> </w:t>
      </w:r>
      <w:r>
        <w:t xml:space="preserve">the principled default because reinsurance data is usually too sparse to</w:t>
      </w:r>
      <w:r>
        <w:t xml:space="preserve"> </w:t>
      </w:r>
      <w:r>
        <w:t xml:space="preserve">select a 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</w:t>
      </w:r>
      <w:r>
        <w:t xml:space="preserve"> </w:t>
      </w:r>
      <w:r>
        <w:rPr>
          <w:b/>
          <w:bCs/>
        </w:rPr>
        <w:t xml:space="preserve">truncated</w:t>
      </w:r>
      <w:r>
        <w:t xml:space="preserve"> </w:t>
      </w:r>
      <w:r>
        <w:t xml:space="preserve">maximum likelihood on the indexed losses in that 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fit_lnorm_truncated</w:t>
      </w:r>
      <w:r>
        <w:t xml:space="preserve">): the likelihood is that of the lognormal conditioned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, matching exactly how the body is used. An unconditional fit on</w:t>
      </w:r>
      <w:r>
        <w:t xml:space="preserve"> </w:t>
      </w:r>
      <w:r>
        <w:t xml:space="preserve">the windowed data would bias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, explaining the missing tails</w:t>
      </w:r>
      <w:r>
        <w:t xml:space="preserve"> </w:t>
      </w:r>
      <w:r>
        <w:t xml:space="preserve">as low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losses above</w:t>
      </w:r>
      <w:r>
        <w:t xml:space="preserve"> </w:t>
      </w:r>
      <m:oMath>
        <m:r>
          <m:t>s</m:t>
        </m:r>
      </m:oMath>
      <w:r>
        <w:t xml:space="preserve">, matching the estimator in the Reinsurance</w:t>
      </w:r>
      <w:r>
        <w:t xml:space="preserve"> </w:t>
      </w:r>
      <w:r>
        <w:t xml:space="preserve">Analytics notes. (The MLE is known to be biased upward in small samples; a</w:t>
      </w:r>
      <w:r>
        <w:t xml:space="preserve"> </w:t>
      </w:r>
      <w:r>
        <w:t xml:space="preserve">correction was considered and deliberately left out to keep the method simple</w:t>
      </w:r>
      <w:r>
        <w:t xml:space="preserve"> </w:t>
      </w:r>
      <w:r>
        <w:t xml:space="preserve">and aligned with the notes.)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The Price step also plots this empirical distribution per layer: a histogram of</w:t>
      </w:r>
      <w:r>
        <w:t xml:space="preserve"> </w:t>
      </w:r>
      <w:r>
        <w:t xml:space="preserve">the simulated annual losses to the selected layer, with the mean, VaR and TVaR</w:t>
      </w:r>
      <w:r>
        <w:t xml:space="preserve"> </w:t>
      </w:r>
      <w:r>
        <w:t xml:space="preserve">marked on it (the same values shown in the Results table), and the share of</w:t>
      </w:r>
      <w:r>
        <w:t xml:space="preserve"> </w:t>
      </w:r>
      <w:r>
        <w:t xml:space="preserve">simulated years with no loss to the layer annotated. High layers are pierced</w:t>
      </w:r>
      <w:r>
        <w:t xml:space="preserve"> </w:t>
      </w:r>
      <w:r>
        <w:t xml:space="preserve">only rarely, so most of their simulated years sit at zero. The per-layer loss</w:t>
      </w:r>
      <w:r>
        <w:t xml:space="preserve"> </w:t>
      </w:r>
      <w:r>
        <w:t xml:space="preserve">vectors come from</w:t>
      </w:r>
      <w:r>
        <w:t xml:space="preserve"> </w:t>
      </w:r>
      <w:r>
        <w:rPr>
          <w:rStyle w:val="VerbatimChar"/>
        </w:rPr>
        <w:t xml:space="preserve">layer_annual_losses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price.R</w:t>
      </w:r>
      <w:r>
        <w:t xml:space="preserve">, the same function</w:t>
      </w:r>
      <w:r>
        <w:t xml:space="preserve"> </w:t>
      </w:r>
      <w:r>
        <w:rPr>
          <w:rStyle w:val="VerbatimChar"/>
        </w:rPr>
        <w:t xml:space="preserve">price_layer</w:t>
      </w:r>
      <w:r>
        <w:t xml:space="preserve"> </w:t>
      </w:r>
      <w:r>
        <w:t xml:space="preserve">summarises, so the plot and the headline numbers always agree.</w:t>
      </w:r>
    </w:p>
    <w:p>
      <w:pPr>
        <w:pStyle w:val="BodyText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pure technical premiums</w:t>
      </w:r>
      <w:r>
        <w:t xml:space="preserve">: the loading is a risk margin only, with</w:t>
      </w:r>
      <w:r>
        <w:t xml:space="preserve"> </w:t>
      </w:r>
      <w:r>
        <w:t xml:space="preserve">no allowance for expenses, brokerage, or cost of capital. A market premium</w:t>
      </w:r>
      <w:r>
        <w:t xml:space="preserve"> </w:t>
      </w:r>
      <w:r>
        <w:t xml:space="preserve">would sit above these figures.</w:t>
      </w:r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 Small differences</w:t>
      </w:r>
      <w:r>
        <w:t xml:space="preserve"> </w:t>
      </w:r>
      <w:r>
        <w:t xml:space="preserve">are expected: they are simulation noise, and they shrink as the number of</w:t>
      </w:r>
      <w:r>
        <w:t xml:space="preserve"> </w:t>
      </w:r>
      <w:r>
        <w:t xml:space="preserve">simulations grows. At the default 100,000 simulations that noise is negligible</w:t>
      </w:r>
      <w:r>
        <w:t xml:space="preserve"> </w:t>
      </w:r>
      <w:r>
        <w:t xml:space="preserve">next to the real uncertainty in the price, which comes from fitting a handful</w:t>
      </w:r>
      <w:r>
        <w:t xml:space="preserve"> </w:t>
      </w:r>
      <w:r>
        <w:t xml:space="preserve">of losses, so the delta is a bug check, not an uncertainty measure.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  <w:r>
        <w:t xml:space="preserve"> </w:t>
      </w:r>
      <w:r>
        <w:t xml:space="preserve">Because the oracle integrates a single loss, it has no closed form once a layer</w:t>
      </w:r>
      <w:r>
        <w:t xml:space="preserve"> </w:t>
      </w:r>
      <w:r>
        <w:t xml:space="preserve">carries an AAD or AAL, so for those layers the oracle is reported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(blank</w:t>
      </w:r>
      <w:r>
        <w:t xml:space="preserve"> </w:t>
      </w:r>
      <w:r>
        <w:t xml:space="preserve">in the dashboard, with a note that the simulation is the answer) rather than a</w:t>
      </w:r>
      <w:r>
        <w:t xml:space="preserve"> </w:t>
      </w:r>
      <w:r>
        <w:t xml:space="preserve">misleading per-loss figure.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trended for inflation, and each year’s layer loss then</w:t>
      </w:r>
      <w:r>
        <w:t xml:space="preserve"> </w:t>
      </w:r>
      <w:r>
        <w:t xml:space="preserve">on-levelled to the valuation-year book by exposure, as if it had happened now).</w:t>
      </w:r>
      <w:r>
        <w:t xml:space="preserve"> </w:t>
      </w:r>
      <w:r>
        <w:t xml:space="preserve">Each historical year is layered per loss and then run through the layer’s annual</w:t>
      </w:r>
      <w:r>
        <w:t xml:space="preserve"> </w:t>
      </w:r>
      <w:r>
        <w:t xml:space="preserve">aggregate deductible and limit, so the benchmark reflects the full layer terms</w:t>
      </w:r>
      <w:r>
        <w:t xml:space="preserve"> </w:t>
      </w:r>
      <w:r>
        <w:t xml:space="preserve">(AAD and AAL included), the same way the pricer does. Unlike the oracle, this carries no model, so it is the external</w:t>
      </w:r>
      <w:r>
        <w:t xml:space="preserve"> </w:t>
      </w:r>
      <w:r>
        <w:t xml:space="preserve">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P. Parodi,</w:t>
      </w:r>
      <w:r>
        <w:t xml:space="preserve"> </w:t>
      </w:r>
      <w:r>
        <w:rPr>
          <w:i/>
          <w:iCs/>
        </w:rPr>
        <w:t xml:space="preserve">Pricing in General Insurance</w:t>
      </w:r>
      <w:r>
        <w:t xml:space="preserve">, CRC Press, 2014. General background</w:t>
      </w:r>
      <w:r>
        <w:t xml:space="preserve"> </w:t>
      </w:r>
      <w:r>
        <w:t xml:space="preserve">on experience rating. This third-party material is kept locally and is not</w:t>
      </w:r>
      <w:r>
        <w:t xml:space="preserve"> </w:t>
      </w:r>
      <w:r>
        <w:t xml:space="preserve">distributed with the 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2026-07-29T11:36:24Z</dcterms:created>
  <dcterms:modified xsi:type="dcterms:W3CDTF">2026-07-29T11:36:24Z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