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indexed for inflation and corrected for exposure, as if it</w:t>
      </w:r>
      <w:r>
        <w:t xml:space="preserve"> </w:t>
      </w:r>
      <w:r>
        <w:t xml:space="preserve">had happened in the valuation year). Unlike the oracle, this carries no model, so</w:t>
      </w:r>
      <w:r>
        <w:t xml:space="preserve"> </w:t>
      </w:r>
      <w:r>
        <w:t xml:space="preserve">it is the external 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2026-06-29T12:13:33Z</dcterms:created>
  <dcterms:modified xsi:type="dcterms:W3CDTF">2026-06-29T12:13:33Z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