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revalued to the valuation year for</w:t>
      </w:r>
      <w:r>
        <w:t xml:space="preserve"> </w:t>
      </w:r>
      <w:r>
        <w:t xml:space="preserve">inflation and for the change in exposure, so old losses are stated in</w:t>
      </w:r>
      <w:r>
        <w:t xml:space="preserve"> </w:t>
      </w:r>
      <w:r>
        <w:t xml:space="preserve">today’s money and today’s book size.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launches the tool hidden (no console window) and opens the dashboard</w:t>
      </w:r>
      <w:r>
        <w:t xml:space="preserve"> </w:t>
      </w:r>
      <w:r>
        <w:t xml:space="preserve">in the default 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</w:t>
      </w:r>
      <w:r>
        <w:t xml:space="preserve"> </w:t>
      </w:r>
      <w:r>
        <w:t xml:space="preserve">which is 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Hidden launcher (double-click to 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t xml:space="preserve">All commands below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The modelling threshold has no fixed</w:t>
      </w:r>
      <w:r>
        <w:t xml:space="preserve"> </w:t>
      </w:r>
      <w:r>
        <w:t xml:space="preserve">built-in default: when neither the dashboard nor the workbook sets it, it starts</w:t>
      </w:r>
      <w:r>
        <w:t xml:space="preserve"> </w:t>
      </w:r>
      <w:r>
        <w:t xml:space="preserve">at the smallest loss in the history, so the model includes every loss until you</w:t>
      </w:r>
      <w:r>
        <w:t xml:space="preserve"> </w:t>
      </w:r>
      <w:r>
        <w:t xml:space="preserve">raise it.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indexation, exposure correction,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different book sizes. Two adjustments revalue</w:t>
      </w:r>
      <w:r>
        <w:t xml:space="preserve"> </w:t>
      </w:r>
      <w:r>
        <w:t xml:space="preserve">each loss to the valuation year.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Exposure correction (on-levelling).</w:t>
      </w:r>
      <w:r>
        <w:t xml:space="preserve"> </w:t>
      </w:r>
      <w:r>
        <w:t xml:space="preserve">The size of a loss is also scaled by how</w:t>
      </w:r>
      <w:r>
        <w:t xml:space="preserve"> </w:t>
      </w:r>
      <w:r>
        <w:t xml:space="preserve">the book grew or shrank between the loss year and the valuation year: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the exposure in year</w:t>
      </w:r>
      <w:r>
        <w:t xml:space="preserve"> </w:t>
      </w:r>
      <m:oMath>
        <m:r>
          <m:t>y</m:t>
        </m:r>
      </m:oMath>
      <w:r>
        <w:t xml:space="preserve">. This is</w:t>
      </w:r>
      <w:r>
        <w:t xml:space="preserve"> </w:t>
      </w:r>
      <w:r>
        <w:rPr>
          <w:rStyle w:val="VerbatimChar"/>
        </w:rPr>
        <w:t xml:space="preserve">exposure_factor</w:t>
      </w:r>
      <w:r>
        <w:t xml:space="preserve">.</w:t>
      </w:r>
    </w:p>
    <w:p>
      <w:pPr>
        <w:pStyle w:val="BodyText"/>
      </w:pPr>
      <w:r>
        <w:t xml:space="preserve">The indexed loss used everywhere downstream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and frequency.</w:t>
      </w:r>
      <w:r>
        <w:t xml:space="preserve"> </w:t>
      </w:r>
      <w:r>
        <w:t xml:space="preserve">Exposure plays a second, separate role. A larger</w:t>
      </w:r>
      <w:r>
        <w:t xml:space="preserve"> </w:t>
      </w:r>
      <w:r>
        <w:t xml:space="preserve">prospective book is expected to produce proportionally more claims, so the</w:t>
      </w:r>
      <w:r>
        <w:t xml:space="preserve"> </w:t>
      </w:r>
      <w:r>
        <w:t xml:space="preserve">fitted frequency is scaled by the forward book size relative to the average book</w:t>
      </w:r>
      <w:r>
        <w:t xml:space="preserve"> </w:t>
      </w:r>
      <w:r>
        <w:t xml:space="preserve">size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(The dashboard’s information panels now explain both of these exposure</w:t>
      </w:r>
      <w:r>
        <w:t xml:space="preserve"> </w:t>
      </w:r>
      <w:r>
        <w:t xml:space="preserve">roles 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indexed for inflation and corrected for exposure, as if it</w:t>
      </w:r>
      <w:r>
        <w:t xml:space="preserve"> </w:t>
      </w:r>
      <w:r>
        <w:t xml:space="preserve">had happened in the valuation year). Unlike the oracle, this carries no model, so</w:t>
      </w:r>
      <w:r>
        <w:t xml:space="preserve"> </w:t>
      </w:r>
      <w:r>
        <w:t xml:space="preserve">it is the external 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2026-06-28T19:27:06Z</dcterms:created>
  <dcterms:modified xsi:type="dcterms:W3CDTF">2026-06-28T19:27:06Z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