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Paco’s Pricing Pipeline</w:t>
      </w:r>
    </w:p>
    <w:p>
      <w:pPr>
        <w:pStyle w:val="Subtitle"/>
      </w:pPr>
      <w:r>
        <w:t xml:space="preserve">Technical and Actuarial Documentation</w:t>
      </w:r>
    </w:p>
    <w:p>
      <w:pPr>
        <w:pStyle w:val="Author"/>
      </w:pPr>
      <w:r>
        <w:t xml:space="preserve">Francisco Martinez Checa</w:t>
      </w:r>
    </w:p>
    <w:p>
      <w:pPr>
        <w:pStyle w:val="Date"/>
      </w:pPr>
      <w:r>
        <w:t xml:space="preserve">June 2026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Paco’s Pricing Pipeline is an R and Shiny tool that prices non-proportional</w:t>
      </w:r>
      <w:r>
        <w:t xml:space="preserve"> </w:t>
      </w:r>
      <w:r>
        <w:t xml:space="preserve">(excess of loss) reinsurance from a list of historical losses. You upload an</w:t>
      </w:r>
      <w:r>
        <w:t xml:space="preserve"> </w:t>
      </w:r>
      <w:r>
        <w:t xml:space="preserve">Excel workbook with the loss experience, choose how to model it, define the</w:t>
      </w:r>
      <w:r>
        <w:t xml:space="preserve"> </w:t>
      </w:r>
      <w:r>
        <w:t xml:space="preserve">reinsurance layers, and the tool runs a Monte Carlo simulation to produce an</w:t>
      </w:r>
      <w:r>
        <w:t xml:space="preserve"> </w:t>
      </w:r>
      <w:r>
        <w:t xml:space="preserve">expected loss, risk measures and a premium for each layer.</w:t>
      </w:r>
    </w:p>
    <w:p>
      <w:pPr>
        <w:pStyle w:val="BodyText"/>
      </w:pPr>
      <w:r>
        <w:t xml:space="preserve">The methodology follows the experience-pricing recipe in</w:t>
      </w:r>
      <w:r>
        <w:t xml:space="preserve"> </w:t>
      </w:r>
      <w:r>
        <w:rPr>
          <w:i/>
          <w:iCs/>
        </w:rPr>
        <w:t xml:space="preserve">Reinsurance</w:t>
      </w:r>
      <w:r>
        <w:rPr>
          <w:i/>
          <w:iCs/>
        </w:rPr>
        <w:t xml:space="preserve"> </w:t>
      </w:r>
      <w:r>
        <w:rPr>
          <w:i/>
          <w:iCs/>
        </w:rPr>
        <w:t xml:space="preserve">Analytics, FS 2026</w:t>
      </w:r>
      <w:r>
        <w:t xml:space="preserve"> </w:t>
      </w:r>
      <w:r>
        <w:t xml:space="preserve">(P. Arbenz), Section 2.8, generalised so the severity is a</w:t>
      </w:r>
      <w:r>
        <w:t xml:space="preserve"> </w:t>
      </w:r>
      <w:r>
        <w:t xml:space="preserve">spliced lognormal plus Pareto rather than a single Pareto.</w:t>
      </w:r>
    </w:p>
    <w:p>
      <w:pPr>
        <w:pStyle w:val="BodyText"/>
      </w:pPr>
      <w:r>
        <w:t xml:space="preserve">This document has two main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1, the technical guide</w:t>
      </w:r>
      <w:r>
        <w:t xml:space="preserve">, covers the prerequisites, how to install and</w:t>
      </w:r>
      <w:r>
        <w:t xml:space="preserve"> </w:t>
      </w:r>
      <w:r>
        <w:t xml:space="preserve">run the tool, the project layout, the input and output formats, and how the</w:t>
      </w:r>
      <w:r>
        <w:t xml:space="preserve"> </w:t>
      </w:r>
      <w:r>
        <w:t xml:space="preserve">software is put together.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2, the actuarial methodology</w:t>
      </w:r>
      <w:r>
        <w:t xml:space="preserve">, explains the distributions that are</w:t>
      </w:r>
      <w:r>
        <w:t xml:space="preserve"> </w:t>
      </w:r>
      <w:r>
        <w:t xml:space="preserve">fitted, how the Monte Carlo simulation works, the premium principles, and the</w:t>
      </w:r>
      <w:r>
        <w:t xml:space="preserve"> </w:t>
      </w:r>
      <w:r>
        <w:t xml:space="preserve">independent validation check.</w:t>
      </w:r>
    </w:p>
    <w:p>
      <w:r>
        <w:pict>
          <v:rect style="width:0;height:1.5pt" o:hralign="center" o:hrstd="t" o:hr="t"/>
        </w:pict>
      </w:r>
    </w:p>
    <w:bookmarkEnd w:id="20"/>
    <w:bookmarkStart w:id="30" w:name="part-1-technical-guide"/>
    <w:p>
      <w:pPr>
        <w:pStyle w:val="Heading1"/>
      </w:pPr>
      <w:r>
        <w:t xml:space="preserve">Part 1: Technical guide</w:t>
      </w:r>
    </w:p>
    <w:bookmarkStart w:id="21" w:name="what-the-tool-does"/>
    <w:p>
      <w:pPr>
        <w:pStyle w:val="Heading2"/>
      </w:pPr>
      <w:r>
        <w:t xml:space="preserve">What the tool does</w:t>
      </w:r>
    </w:p>
    <w:p>
      <w:pPr>
        <w:pStyle w:val="FirstParagraph"/>
      </w:pPr>
      <w:r>
        <w:t xml:space="preserve">At a high level the tool turns a history of losses into a price through four</w:t>
      </w:r>
      <w:r>
        <w:t xml:space="preserve"> </w:t>
      </w:r>
      <w:r>
        <w:t xml:space="preserve">stages: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Pre-process.</w:t>
      </w:r>
      <w:r>
        <w:t xml:space="preserve"> </w:t>
      </w:r>
      <w:r>
        <w:t xml:space="preserve">Each historical loss is revalued to the valuation year for</w:t>
      </w:r>
      <w:r>
        <w:t xml:space="preserve"> </w:t>
      </w:r>
      <w:r>
        <w:t xml:space="preserve">inflation and for the change in exposure, so old losses are stated in</w:t>
      </w:r>
      <w:r>
        <w:t xml:space="preserve"> </w:t>
      </w:r>
      <w:r>
        <w:t xml:space="preserve">today’s money and today’s book size.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Fit.</w:t>
      </w:r>
      <w:r>
        <w:t xml:space="preserve"> </w:t>
      </w:r>
      <w:r>
        <w:t xml:space="preserve">A frequency distribution is fitted to the yearly count of losses,</w:t>
      </w:r>
      <w:r>
        <w:t xml:space="preserve"> </w:t>
      </w:r>
      <w:r>
        <w:t xml:space="preserve">and a severity distribution is fitted to the size of losses.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Simulate.</w:t>
      </w:r>
      <w:r>
        <w:t xml:space="preserve"> </w:t>
      </w:r>
      <w:r>
        <w:t xml:space="preserve">A Monte Carlo simulation draws many possible years from the</w:t>
      </w:r>
      <w:r>
        <w:t xml:space="preserve"> </w:t>
      </w:r>
      <w:r>
        <w:t xml:space="preserve">fitted models, applies the reinsurance layers to each year, and builds the</w:t>
      </w:r>
      <w:r>
        <w:t xml:space="preserve"> </w:t>
      </w:r>
      <w:r>
        <w:t xml:space="preserve">distribution of the reinsured loss.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Price.</w:t>
      </w:r>
      <w:r>
        <w:t xml:space="preserve"> </w:t>
      </w:r>
      <w:r>
        <w:t xml:space="preserve">For each layer the tool reports the expected loss, the volatility,</w:t>
      </w:r>
      <w:r>
        <w:t xml:space="preserve"> </w:t>
      </w:r>
      <w:r>
        <w:t xml:space="preserve">tail risk measures, and a premium under two loading principles. A separate</w:t>
      </w:r>
      <w:r>
        <w:t xml:space="preserve"> </w:t>
      </w:r>
      <w:r>
        <w:t xml:space="preserve">closed-form calculation cross-checks the simulation.</w:t>
      </w:r>
    </w:p>
    <w:bookmarkEnd w:id="21"/>
    <w:bookmarkStart w:id="22" w:name="the-four-step-workflow-dashboard"/>
    <w:p>
      <w:pPr>
        <w:pStyle w:val="Heading2"/>
      </w:pPr>
      <w:r>
        <w:t xml:space="preserve">The four-step workflow (dashboard)</w:t>
      </w:r>
    </w:p>
    <w:p>
      <w:pPr>
        <w:pStyle w:val="FirstParagraph"/>
      </w:pPr>
      <w:r>
        <w:t xml:space="preserve">The dashboard presents these stages as a guided, clickable four-step flow. Each</w:t>
      </w:r>
      <w:r>
        <w:t xml:space="preserve"> </w:t>
      </w:r>
      <w:r>
        <w:t xml:space="preserve">step has a collapsible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panel that explains what it does.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Upload the workbook and review the losses, exposure and inflation that 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Choose the modelling threshold, the splice threshold and the frequency model, while live plots show the 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Define the reinsurance layers (deductible, cover, aggregate deductible, aggregate limit).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Set the loadings and the simulation size, run the pricing, and read the results and validation.</w:t>
            </w:r>
          </w:p>
        </w:tc>
      </w:tr>
    </w:tbl>
    <w:p>
      <w:pPr>
        <w:pStyle w:val="BodyText"/>
      </w:pPr>
      <w:r>
        <w:t xml:space="preserve">The steps are clickable, so an experienced user can jump back to iterate;</w:t>
      </w:r>
      <w:r>
        <w:t xml:space="preserve"> </w:t>
      </w:r>
      <w:r>
        <w:t xml:space="preserve">Back and Next buttons walk the linear path. Nothing is gated.</w:t>
      </w:r>
    </w:p>
    <w:bookmarkEnd w:id="22"/>
    <w:bookmarkStart w:id="23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Operating system.</w:t>
      </w:r>
      <w:r>
        <w:t xml:space="preserve"> </w:t>
      </w:r>
      <w:r>
        <w:t xml:space="preserve">Windows (the launcher scripts are Windows specific). The</w:t>
      </w:r>
      <w:r>
        <w:t xml:space="preserve"> </w:t>
      </w:r>
      <w:r>
        <w:t xml:space="preserve">R code itself is cross-platform.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R.</w:t>
      </w:r>
      <w:r>
        <w:t xml:space="preserve"> </w:t>
      </w:r>
      <w:r>
        <w:t xml:space="preserve">A recent R installation (developed and tested on R 4.5.2). R is the</w:t>
      </w:r>
      <w:r>
        <w:t xml:space="preserve"> </w:t>
      </w:r>
      <w:r>
        <w:t xml:space="preserve">only required runtime; there is no separate build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 packages.</w:t>
      </w:r>
      <w:r>
        <w:t xml:space="preserve"> </w:t>
      </w:r>
      <w:r>
        <w:rPr>
          <w:rStyle w:val="VerbatimChar"/>
        </w:rPr>
        <w:t xml:space="preserve">shiny</w:t>
      </w:r>
      <w:r>
        <w:t xml:space="preserve"> </w:t>
      </w:r>
      <w:r>
        <w:t xml:space="preserve">(the dashboard, which also brings</w:t>
      </w:r>
      <w:r>
        <w:t xml:space="preserve"> </w:t>
      </w:r>
      <w:r>
        <w:rPr>
          <w:rStyle w:val="VerbatimChar"/>
        </w:rPr>
        <w:t xml:space="preserve">later</w:t>
      </w:r>
      <w:r>
        <w:t xml:space="preserve"> </w:t>
      </w:r>
      <w:r>
        <w:t xml:space="preserve">for the</w:t>
      </w:r>
      <w:r>
        <w:t xml:space="preserve"> </w:t>
      </w:r>
      <w:r>
        <w:t xml:space="preserve">self-shutdown timer),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 </w:t>
      </w:r>
      <w:r>
        <w:t xml:space="preserve">(lognormal maximum likelihood),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(reading Excel), and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 </w:t>
      </w:r>
      <w:r>
        <w:t xml:space="preserve">(writing Excel).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is needed only to</w:t>
      </w:r>
      <w:r>
        <w:t xml:space="preserve"> </w:t>
      </w:r>
      <w:r>
        <w:t xml:space="preserve">run the test suite. These are installed automatically on first run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access (first run only).</w:t>
      </w:r>
      <w:r>
        <w:t xml:space="preserve"> </w:t>
      </w:r>
      <w:r>
        <w:t xml:space="preserve">Installing the packages needs to reach</w:t>
      </w:r>
      <w:r>
        <w:t xml:space="preserve"> </w:t>
      </w:r>
      <w:r>
        <w:t xml:space="preserve">CRAN. On a locked-down network you can point the tool at an internal mirror by</w:t>
      </w:r>
      <w:r>
        <w:t xml:space="preserve"> </w:t>
      </w:r>
      <w:r>
        <w:t xml:space="preserve">putting the mirror URL in a file named</w:t>
      </w:r>
      <w:r>
        <w:t xml:space="preserve"> </w:t>
      </w:r>
      <w:r>
        <w:rPr>
          <w:rStyle w:val="VerbatimChar"/>
        </w:rPr>
        <w:t xml:space="preserve">CRAN_MIRROR.txt</w:t>
      </w:r>
      <w:r>
        <w:t xml:space="preserve"> </w:t>
      </w:r>
      <w:r>
        <w:t xml:space="preserve">next to the launcher.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Excel.</w:t>
      </w:r>
      <w:r>
        <w:t xml:space="preserve"> </w:t>
      </w:r>
      <w:r>
        <w:t xml:space="preserve">Not required to run the tool. It is only useful for viewing the</w:t>
      </w:r>
      <w:r>
        <w:t xml:space="preserve"> </w:t>
      </w:r>
      <w:r>
        <w:t xml:space="preserve">input and output workbooks.</w:t>
      </w:r>
    </w:p>
    <w:bookmarkEnd w:id="23"/>
    <w:bookmarkStart w:id="24" w:name="installation-and-first-run"/>
    <w:p>
      <w:pPr>
        <w:pStyle w:val="Heading2"/>
      </w:pPr>
      <w:r>
        <w:t xml:space="preserve">Installation and first run</w:t>
      </w:r>
    </w:p>
    <w:p>
      <w:pPr>
        <w:pStyle w:val="FirstParagraph"/>
      </w:pPr>
      <w:r>
        <w:t xml:space="preserve">For an end user the simplest path is to double-click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in the top</w:t>
      </w:r>
      <w:r>
        <w:t xml:space="preserve"> </w:t>
      </w:r>
      <w:r>
        <w:t xml:space="preserve">folder. It launches the tool hidden (no console window) and opens the dashboard</w:t>
      </w:r>
      <w:r>
        <w:t xml:space="preserve"> </w:t>
      </w:r>
      <w:r>
        <w:t xml:space="preserve">in the default browser.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</w:t>
      </w:r>
      <w:r>
        <w:t xml:space="preserve"> </w:t>
      </w:r>
      <w:r>
        <w:t xml:space="preserve">which is useful for troubleshooting.</w:t>
      </w:r>
    </w:p>
    <w:p>
      <w:pPr>
        <w:pStyle w:val="BodyText"/>
      </w:pPr>
      <w:r>
        <w:t xml:space="preserve">On first run the launcher calls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, which installs any missing</w:t>
      </w:r>
      <w:r>
        <w:t xml:space="preserve"> </w:t>
      </w:r>
      <w:r>
        <w:t xml:space="preserve">packages and then re-checks them. If a required package cannot be installed (for</w:t>
      </w:r>
      <w:r>
        <w:t xml:space="preserve"> </w:t>
      </w:r>
      <w:r>
        <w:t xml:space="preserve">example, no internet or a corporate firewall), it prints a clear message</w:t>
      </w:r>
      <w:r>
        <w:t xml:space="preserve"> </w:t>
      </w:r>
      <w:r>
        <w:t xml:space="preserve">explaining what to do rather than failing silently.</w:t>
      </w:r>
    </w:p>
    <w:bookmarkEnd w:id="24"/>
    <w:bookmarkStart w:id="25" w:name="project-layout"/>
    <w:p>
      <w:pPr>
        <w:pStyle w:val="Heading2"/>
      </w:pPr>
      <w:r>
        <w:t xml:space="preserve">Project layout</w:t>
      </w:r>
    </w:p>
    <w:p>
      <w:pPr>
        <w:pStyle w:val="FirstParagraph"/>
      </w:pPr>
      <w:r>
        <w:t xml:space="preserve">The project is split so end users see a clean top folder, while all the code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start.vbs</w:t>
            </w:r>
          </w:p>
        </w:tc>
        <w:tc>
          <w:tcPr/>
          <w:p>
            <w:pPr>
              <w:pStyle w:val="Compact"/>
            </w:pPr>
            <w:r>
              <w:t xml:space="preserve">Hidden launcher (double-click to 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input.xlsx</w:t>
            </w:r>
          </w:p>
        </w:tc>
        <w:tc>
          <w:tcPr/>
          <w:p>
            <w:pPr>
              <w:pStyle w:val="Compact"/>
            </w:pPr>
            <w:r>
              <w:t xml:space="preserve">The example input workbook (styled to match the dashboard).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Short orientation for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</w:p>
        </w:tc>
        <w:tc>
          <w:tcPr/>
          <w:p>
            <w:pPr>
              <w:pStyle w:val="Compact"/>
            </w:pPr>
            <w:r>
              <w:t xml:space="preserve">All the code and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engine/app.R</w:t>
            </w:r>
          </w:p>
        </w:tc>
        <w:tc>
          <w:tcPr/>
          <w:p>
            <w:pPr>
              <w:pStyle w:val="Compact"/>
            </w:pPr>
            <w:r>
              <w:t xml:space="preserve">The Shiny dashboard (UI and server).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engine/R/</w:t>
            </w:r>
          </w:p>
        </w:tc>
        <w:tc>
          <w:tcPr/>
          <w:p>
            <w:pPr>
              <w:pStyle w:val="Compact"/>
            </w:pPr>
            <w:r>
              <w:t xml:space="preserve">One module per responsibility (see the module map).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engine/tests/testthat/</w:t>
            </w:r>
          </w:p>
        </w:tc>
        <w:tc>
          <w:tcPr/>
          <w:p>
            <w:pPr>
              <w:pStyle w:val="Compact"/>
            </w:pPr>
            <w:r>
              <w:t xml:space="preserve">One test file per 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engine/make_example.R</w:t>
            </w:r>
          </w:p>
        </w:tc>
        <w:tc>
          <w:tcPr/>
          <w:p>
            <w:pPr>
              <w:pStyle w:val="Compact"/>
            </w:pPr>
            <w:r>
              <w:t xml:space="preserve">Regenerates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engine/install_deps.R</w:t>
            </w:r>
          </w:p>
        </w:tc>
        <w:tc>
          <w:tcPr/>
          <w:p>
            <w:pPr>
              <w:pStyle w:val="Compact"/>
            </w:pPr>
            <w:r>
              <w:t xml:space="preserve">Installs and verifies the required packages.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engine/docs/</w:t>
            </w:r>
          </w:p>
        </w:tc>
        <w:tc>
          <w:tcPr/>
          <w:p>
            <w:pPr>
              <w:pStyle w:val="Compact"/>
            </w:pPr>
            <w:r>
              <w:t xml:space="preserve">This documentation (Markdown; a Word copy is at the repo root).</w:t>
            </w:r>
          </w:p>
        </w:tc>
      </w:tr>
    </w:tbl>
    <w:bookmarkEnd w:id="25"/>
    <w:bookmarkStart w:id="26" w:name="ways-to-run-it"/>
    <w:p>
      <w:pPr>
        <w:pStyle w:val="Heading2"/>
      </w:pPr>
      <w:r>
        <w:t xml:space="preserve">Ways to run it</w:t>
      </w:r>
    </w:p>
    <w:p>
      <w:pPr>
        <w:pStyle w:val="FirstParagraph"/>
      </w:pPr>
      <w:r>
        <w:t xml:space="preserve">All commands below run from inside the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Launch the dashboard:</w:t>
      </w:r>
      <w:r>
        <w:t xml:space="preserve"> </w:t>
      </w:r>
      <w:r>
        <w:rPr>
          <w:rStyle w:val="VerbatimChar"/>
        </w:rPr>
        <w:t xml:space="preserve">Rscript -e "shiny::runApp('.')"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in RStudio and click Run App).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the test suite:</w:t>
      </w:r>
      <w:r>
        <w:t xml:space="preserve"> </w:t>
      </w:r>
      <w:r>
        <w:rPr>
          <w:rStyle w:val="VerbatimChar"/>
        </w:rPr>
        <w:t xml:space="preserve">Rscript run_tests.R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Price a workbook without the UI: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(which loads every module)</w:t>
      </w:r>
      <w:r>
        <w:t xml:space="preserve"> </w:t>
      </w:r>
      <w:r>
        <w:t xml:space="preserve">then call</w:t>
      </w:r>
      <w:r>
        <w:t xml:space="preserve"> </w:t>
      </w:r>
      <w:r>
        <w:rPr>
          <w:rStyle w:val="VerbatimChar"/>
        </w:rPr>
        <w:t xml:space="preserve">run_pricing("../input.xlsx", overrides = list(...))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Regenerate the example workbook:</w:t>
      </w:r>
      <w:r>
        <w:t xml:space="preserve"> </w:t>
      </w:r>
      <w:r>
        <w:rPr>
          <w:rStyle w:val="VerbatimChar"/>
        </w:rPr>
        <w:t xml:space="preserve">Rscript make_example.R</w:t>
      </w:r>
      <w:r>
        <w:t xml:space="preserve">.</w:t>
      </w:r>
    </w:p>
    <w:bookmarkEnd w:id="26"/>
    <w:bookmarkStart w:id="27" w:name="input-workbook-format"/>
    <w:p>
      <w:pPr>
        <w:pStyle w:val="Heading2"/>
      </w:pPr>
      <w:r>
        <w:t xml:space="preserve">Input workbook format</w:t>
      </w:r>
    </w:p>
    <w:p>
      <w:pPr>
        <w:pStyle w:val="FirstParagraph"/>
      </w:pPr>
      <w:r>
        <w:t xml:space="preserve">A single Excel workbook with four sheets. The reinsurance structure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workbook; it is defined in the dashboard.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losses</w:t>
      </w:r>
      <w:r>
        <w:t xml:space="preserve"> </w:t>
      </w:r>
      <w:r>
        <w:t xml:space="preserve">(one row per individual loss):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accident or occurrence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ground-up loss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line_of_business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optional, informational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</w:t>
      </w:r>
      <w:r>
        <w:t xml:space="preserve"> </w:t>
      </w:r>
      <w:r>
        <w:t xml:space="preserve">(one row per year, including the prospective valuation</w:t>
      </w:r>
      <w:r>
        <w:t xml:space="preserve"> </w:t>
      </w:r>
      <w:r>
        <w:t xml:space="preserve">year):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exposure measure, for example number of risks or sum insured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inflation</w:t>
      </w:r>
      <w:r>
        <w:t xml:space="preserve"> </w:t>
      </w:r>
      <w:r>
        <w:t xml:space="preserve">(loss inflation is a per-year rate, not a single</w:t>
      </w:r>
      <w:r>
        <w:t xml:space="preserve"> </w:t>
      </w:r>
      <w:r>
        <w:t xml:space="preserve">constant):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inflation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loss inflation during that year, for example 0.03 for 3%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parameters</w:t>
      </w:r>
      <w:r>
        <w:t xml:space="preserve"> </w:t>
      </w:r>
      <w:r>
        <w:t xml:space="preserve">(key and value rows; only the valuation year is required,</w:t>
      </w:r>
      <w:r>
        <w:t xml:space="preserve"> </w:t>
      </w:r>
      <w:r>
        <w:t xml:space="preserve">the modelling choices are set in the dashboard):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valuation_year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the year all losses are revalued to</w:t>
            </w:r>
          </w:p>
        </w:tc>
      </w:tr>
    </w:tbl>
    <w:p>
      <w:pPr>
        <w:pStyle w:val="BodyText"/>
      </w:pPr>
      <w:r>
        <w:t xml:space="preserve">The workbook may optionally also carry modelling defaults (modelling threshold,</w:t>
      </w:r>
      <w:r>
        <w:t xml:space="preserve"> </w:t>
      </w:r>
      <w:r>
        <w:t xml:space="preserve">splice threshold, frequency model, simulations, loadings, VaR level). When</w:t>
      </w:r>
      <w:r>
        <w:t xml:space="preserve"> </w:t>
      </w:r>
      <w:r>
        <w:t xml:space="preserve">present they seed the dashboard controls. The precedence is: dashboard control</w:t>
      </w:r>
      <w:r>
        <w:t xml:space="preserve"> </w:t>
      </w:r>
      <w:r>
        <w:t xml:space="preserve">overrides the workbook value, which overrides the built-in default (see</w:t>
      </w:r>
      <w:r>
        <w:t xml:space="preserve"> </w:t>
      </w:r>
      <w:r>
        <w:rPr>
          <w:rStyle w:val="VerbatimChar"/>
        </w:rPr>
        <w:t xml:space="preserve">resolve_settings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pipeline.R</w:t>
      </w:r>
      <w:r>
        <w:t xml:space="preserve">). The modelling threshold has no fixed</w:t>
      </w:r>
      <w:r>
        <w:t xml:space="preserve"> </w:t>
      </w:r>
      <w:r>
        <w:t xml:space="preserve">built-in default: when neither the dashboard nor the workbook sets it, it starts</w:t>
      </w:r>
      <w:r>
        <w:t xml:space="preserve"> </w:t>
      </w:r>
      <w:r>
        <w:t xml:space="preserve">at the smallest loss in the history, so the model includes every loss until you</w:t>
      </w:r>
      <w:r>
        <w:t xml:space="preserve"> </w:t>
      </w:r>
      <w:r>
        <w:t xml:space="preserve">raise it.</w:t>
      </w:r>
    </w:p>
    <w:bookmarkEnd w:id="27"/>
    <w:bookmarkStart w:id="28" w:name="output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When you download results from the dashboard, or pass an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, the tool writes a two-sheet workbook: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results</w:t>
      </w:r>
      <w:r>
        <w:t xml:space="preserve">: one row per layer with the expected loss, standard deviation,</w:t>
      </w:r>
      <w:r>
        <w:t xml:space="preserve"> </w:t>
      </w:r>
      <w:r>
        <w:t xml:space="preserve">VaR, TVaR, both premiums, the closed-form expected loss, and the</w:t>
      </w:r>
      <w:r>
        <w:t xml:space="preserve"> </w:t>
      </w:r>
      <w:r>
        <w:t xml:space="preserve">validation delta.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assumptions</w:t>
      </w:r>
      <w:r>
        <w:t xml:space="preserve">: an echo of the fitted parameters and the settings used, so</w:t>
      </w:r>
      <w:r>
        <w:t xml:space="preserve"> </w:t>
      </w:r>
      <w:r>
        <w:t xml:space="preserve">a result is self-documenting.</w:t>
      </w:r>
    </w:p>
    <w:bookmarkEnd w:id="28"/>
    <w:bookmarkStart w:id="29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t xml:space="preserve">The numerical work is split into small, independently testable modules in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. The dashboard (</w:t>
      </w:r>
      <w:r>
        <w:rPr>
          <w:rStyle w:val="VerbatimChar"/>
        </w:rPr>
        <w:t xml:space="preserve">app.R</w:t>
      </w:r>
      <w:r>
        <w:t xml:space="preserve">) only wires the user interface to these</w:t>
      </w:r>
      <w:r>
        <w:t xml:space="preserve"> </w:t>
      </w:r>
      <w:r>
        <w:t xml:space="preserve">modules; it contains no pricing mathematics of its 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io.R</w:t>
            </w:r>
          </w:p>
        </w:tc>
        <w:tc>
          <w:tcPr/>
          <w:p>
            <w:pPr>
              <w:pStyle w:val="Compact"/>
            </w:pPr>
            <w:r>
              <w:t xml:space="preserve">read the input workbook, write the output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layers.R</w:t>
            </w:r>
          </w:p>
        </w:tc>
        <w:tc>
          <w:tcPr/>
          <w:p>
            <w:pPr>
              <w:pStyle w:val="Compact"/>
            </w:pPr>
            <w:r>
              <w:t xml:space="preserve">the per-loss layer function and the default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preprocess.R</w:t>
            </w:r>
          </w:p>
        </w:tc>
        <w:tc>
          <w:tcPr/>
          <w:p>
            <w:pPr>
              <w:pStyle w:val="Compact"/>
            </w:pPr>
            <w:r>
              <w:t xml:space="preserve">indexation, exposure correction, burning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fit_frequency.R</w:t>
            </w:r>
          </w:p>
        </w:tc>
        <w:tc>
          <w:tcPr/>
          <w:p>
            <w:pPr>
              <w:pStyle w:val="Compact"/>
            </w:pPr>
            <w:r>
              <w:t xml:space="preserve">fit and scale Poisson, Negative Binomial or Binomial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fit_severity.R</w:t>
            </w:r>
          </w:p>
        </w:tc>
        <w:tc>
          <w:tcPr/>
          <w:p>
            <w:pPr>
              <w:pStyle w:val="Compact"/>
            </w:pPr>
            <w:r>
              <w:t xml:space="preserve">fit the spliced lognormal and Pareto, survival, sampler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simulate.R</w:t>
            </w:r>
          </w:p>
        </w:tc>
        <w:tc>
          <w:tcPr/>
          <w:p>
            <w:pPr>
              <w:pStyle w:val="Compact"/>
            </w:pPr>
            <w:r>
              <w:t xml:space="preserve">Monte Carlo of annual ground-up losses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price.R</w:t>
            </w:r>
          </w:p>
        </w:tc>
        <w:tc>
          <w:tcPr/>
          <w:p>
            <w:pPr>
              <w:pStyle w:val="Compact"/>
            </w:pPr>
            <w:r>
              <w:t xml:space="preserve">apply the layers, compute premiums and risk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validate.R</w:t>
            </w:r>
          </w:p>
        </w:tc>
        <w:tc>
          <w:tcPr/>
          <w:p>
            <w:pPr>
              <w:pStyle w:val="Compact"/>
            </w:pPr>
            <w:r>
              <w:t xml:space="preserve">closed-form and numerical-integration validation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pipeline.R</w:t>
            </w:r>
          </w:p>
        </w:tc>
        <w:tc>
          <w:tcPr/>
          <w:p>
            <w:pPr>
              <w:pStyle w:val="Compact"/>
            </w:pPr>
            <w:r>
              <w:t xml:space="preserve">tie the modules together (</w:t>
            </w:r>
            <w:r>
              <w:rPr>
                <w:rStyle w:val="VerbatimChar"/>
              </w:rPr>
              <w:t xml:space="preserve">fit_models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run_pricing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</w:p>
        </w:tc>
        <w:tc>
          <w:tcPr/>
          <w:p>
            <w:pPr>
              <w:pStyle w:val="Compact"/>
            </w:pPr>
            <w:r>
              <w:t xml:space="preserve">the Shiny dashboard</w:t>
            </w:r>
          </w:p>
        </w:tc>
      </w:tr>
    </w:tbl>
    <w:p>
      <w:pPr>
        <w:pStyle w:val="BodyText"/>
      </w:pPr>
      <w:r>
        <w:t xml:space="preserve">Two design points worth noting: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fit is separated from the simulation.</w:t>
      </w:r>
      <w:r>
        <w:t xml:space="preserve"> </w:t>
      </w:r>
      <w:r>
        <w:rPr>
          <w:rStyle w:val="VerbatimChar"/>
        </w:rPr>
        <w:t xml:space="preserve">fit_models</w:t>
      </w:r>
      <w:r>
        <w:t xml:space="preserve"> </w:t>
      </w:r>
      <w:r>
        <w:t xml:space="preserve">is fast and runs</w:t>
      </w:r>
      <w:r>
        <w:t xml:space="preserve"> </w:t>
      </w:r>
      <w:r>
        <w:t xml:space="preserve">live in the dashboard as you move the thresholds, while</w:t>
      </w:r>
      <w:r>
        <w:t xml:space="preserve"> </w:t>
      </w:r>
      <w:r>
        <w:rPr>
          <w:rStyle w:val="VerbatimChar"/>
        </w:rPr>
        <w:t xml:space="preserve">price_models</w:t>
      </w:r>
      <w:r>
        <w:t xml:space="preserve"> </w:t>
      </w:r>
      <w:r>
        <w:t xml:space="preserve">runs</w:t>
      </w:r>
      <w:r>
        <w:t xml:space="preserve"> </w:t>
      </w:r>
      <w:r>
        <w:t xml:space="preserve">the expensive Monte Carlo only when you press Run.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 owns the contract.</w:t>
      </w:r>
      <w:r>
        <w:t xml:space="preserve"> </w:t>
      </w:r>
      <w:r>
        <w:t xml:space="preserve">The program of layers lives in the</w:t>
      </w:r>
      <w:r>
        <w:t xml:space="preserve"> </w:t>
      </w:r>
      <w:r>
        <w:t xml:space="preserve">dashboard, keyed by a stable id so adding or removing a layer never disturbs</w:t>
      </w:r>
      <w:r>
        <w:t xml:space="preserve"> </w:t>
      </w:r>
      <w:r>
        <w:t xml:space="preserve">the others. The headless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 </w:t>
      </w:r>
      <w:r>
        <w:t xml:space="preserve">path takes the same structure as an</w:t>
      </w:r>
      <w:r>
        <w:t xml:space="preserve"> </w:t>
      </w:r>
      <w:r>
        <w:t xml:space="preserve">argument, defaulting to the built-in demo program.</w:t>
      </w:r>
    </w:p>
    <w:p>
      <w:pPr>
        <w:pStyle w:val="FirstParagraph"/>
      </w:pPr>
      <w:r>
        <w:t xml:space="preserve">The dashboard also manages its own lifecycle: it counts connected browser</w:t>
      </w:r>
      <w:r>
        <w:t xml:space="preserve"> </w:t>
      </w:r>
      <w:r>
        <w:t xml:space="preserve">sessions and shuts the tool down a few seconds after the last tab closes (a</w:t>
      </w:r>
      <w:r>
        <w:t xml:space="preserve"> </w:t>
      </w:r>
      <w:r>
        <w:t xml:space="preserve">short grace period tolerates a page refresh), and the most recent upload is kept</w:t>
      </w:r>
      <w:r>
        <w:t xml:space="preserve"> </w:t>
      </w:r>
      <w:r>
        <w:t xml:space="preserve">in a process-level store so a refresh does not lose the data.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part-2-actuarial-methodology"/>
    <w:p>
      <w:pPr>
        <w:pStyle w:val="Heading1"/>
      </w:pPr>
      <w:r>
        <w:t xml:space="preserve">Part 2: Actuarial methodology</w:t>
      </w:r>
    </w:p>
    <w:p>
      <w:pPr>
        <w:pStyle w:val="FirstParagraph"/>
      </w:pPr>
      <w:r>
        <w:t xml:space="preserve">This part explains the models that are fitted and how the simulation turns them</w:t>
      </w:r>
      <w:r>
        <w:t xml:space="preserve"> </w:t>
      </w:r>
      <w:r>
        <w:t xml:space="preserve">into a price. Throughout,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denotes the size of a single loss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number of losses in a year.</w:t>
      </w:r>
    </w:p>
    <w:bookmarkStart w:id="31" w:name="pre-processing-indexation-and-exposure"/>
    <w:p>
      <w:pPr>
        <w:pStyle w:val="Heading2"/>
      </w:pPr>
      <w:r>
        <w:t xml:space="preserve">Pre-processing: indexation and exposure</w:t>
      </w:r>
    </w:p>
    <w:p>
      <w:pPr>
        <w:pStyle w:val="FirstParagraph"/>
      </w:pPr>
      <w:r>
        <w:t xml:space="preserve">Historical losses cannot be used as they are: they happened in different years,</w:t>
      </w:r>
      <w:r>
        <w:t xml:space="preserve"> </w:t>
      </w:r>
      <w:r>
        <w:t xml:space="preserve">under different price levels and different book sizes. Two adjustments revalue</w:t>
      </w:r>
      <w:r>
        <w:t xml:space="preserve"> </w:t>
      </w:r>
      <w:r>
        <w:t xml:space="preserve">each loss to the valuation year.</w:t>
      </w:r>
    </w:p>
    <w:p>
      <w:pPr>
        <w:pStyle w:val="BodyText"/>
      </w:pPr>
      <w:r>
        <w:rPr>
          <w:b/>
          <w:bCs/>
        </w:rPr>
        <w:t xml:space="preserve">Loss inflation (indexation).</w:t>
      </w:r>
      <w:r>
        <w:t xml:space="preserve"> </w:t>
      </w:r>
      <w:r>
        <w:t xml:space="preserve">A loss is in money of its own year, so to</w:t>
      </w:r>
      <w:r>
        <w:t xml:space="preserve"> </w:t>
      </w:r>
      <w:r>
        <w:t xml:space="preserve">restate it in valuation-year money we compound the inflation rates of the years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V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loss year,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valuation year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inflation</w:t>
      </w:r>
      <w:r>
        <w:t xml:space="preserve"> </w:t>
      </w:r>
      <w:r>
        <w:t xml:space="preserve">rate for year</w:t>
      </w:r>
      <w:r>
        <w:t xml:space="preserve"> </w:t>
      </w:r>
      <m:oMath>
        <m:r>
          <m:t>t</m:t>
        </m:r>
      </m:oMath>
      <w:r>
        <w:t xml:space="preserve">. If the valuation year is earlier than the loss year the same</w:t>
      </w:r>
      <w:r>
        <w:t xml:space="preserve"> </w:t>
      </w:r>
      <w:r>
        <w:t xml:space="preserve">product deflates instead (the factor is inverted). This is</w:t>
      </w:r>
      <w:r>
        <w:t xml:space="preserve"> </w:t>
      </w:r>
      <w:r>
        <w:rPr>
          <w:rStyle w:val="VerbatimChar"/>
        </w:rPr>
        <w:t xml:space="preserve">inflation_factor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Exposure correction (on-levelling).</w:t>
      </w:r>
      <w:r>
        <w:t xml:space="preserve"> </w:t>
      </w:r>
      <w:r>
        <w:t xml:space="preserve">The size of a loss is also scaled by how</w:t>
      </w:r>
      <w:r>
        <w:t xml:space="preserve"> </w:t>
      </w:r>
      <w:r>
        <w:t xml:space="preserve">the book grew or shrank between the loss year and the valuation year: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the exposure in year</w:t>
      </w:r>
      <w:r>
        <w:t xml:space="preserve"> </w:t>
      </w:r>
      <m:oMath>
        <m:r>
          <m:t>y</m:t>
        </m:r>
      </m:oMath>
      <w:r>
        <w:t xml:space="preserve">. This is</w:t>
      </w:r>
      <w:r>
        <w:t xml:space="preserve"> </w:t>
      </w:r>
      <w:r>
        <w:rPr>
          <w:rStyle w:val="VerbatimChar"/>
        </w:rPr>
        <w:t xml:space="preserve">exposure_factor</w:t>
      </w:r>
      <w:r>
        <w:t xml:space="preserve">.</w:t>
      </w:r>
    </w:p>
    <w:p>
      <w:pPr>
        <w:pStyle w:val="BodyText"/>
      </w:pPr>
      <w:r>
        <w:t xml:space="preserve">The indexed loss used everywhere downstream is therefore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i</m:t>
              </m:r>
              <m:r>
                <m:t>n</m:t>
              </m:r>
              <m:r>
                <m:t>d</m:t>
              </m:r>
              <m:r>
                <m:t>e</m:t>
              </m:r>
              <m:r>
                <m:t>x</m:t>
              </m:r>
              <m:r>
                <m:t>e</m:t>
              </m:r>
              <m:r>
                <m:t>d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Exposure and frequency.</w:t>
      </w:r>
      <w:r>
        <w:t xml:space="preserve"> </w:t>
      </w:r>
      <w:r>
        <w:t xml:space="preserve">Exposure plays a second, separate role. A larger</w:t>
      </w:r>
      <w:r>
        <w:t xml:space="preserve"> </w:t>
      </w:r>
      <w:r>
        <w:t xml:space="preserve">prospective book is expected to produce proportionally more claims, so the</w:t>
      </w:r>
      <w:r>
        <w:t xml:space="preserve"> </w:t>
      </w:r>
      <w:r>
        <w:t xml:space="preserve">fitted frequency is scaled by the forward book size relative to the average book</w:t>
      </w:r>
      <w:r>
        <w:t xml:space="preserve"> </w:t>
      </w:r>
      <w:r>
        <w:t xml:space="preserve">size over the observed years: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t>f</m:t>
              </m:r>
              <m:r>
                <m:t>r</m:t>
              </m:r>
              <m:r>
                <m:t>e</m:t>
              </m:r>
              <m:r>
                <m:t>q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exposure_frequency_factor</w:t>
      </w:r>
      <w:r>
        <w:t xml:space="preserve">. When exposure is flat this factor is 1 and</w:t>
      </w:r>
      <w:r>
        <w:t xml:space="preserve"> </w:t>
      </w:r>
      <w:r>
        <w:t xml:space="preserve">nothing changes; a book that doubles roughly doubles the expected number of</w:t>
      </w:r>
      <w:r>
        <w:t xml:space="preserve"> </w:t>
      </w:r>
      <w:r>
        <w:t xml:space="preserve">claims. (The dashboard’s information panels now explain both of these exposure</w:t>
      </w:r>
      <w:r>
        <w:t xml:space="preserve"> </w:t>
      </w:r>
      <w:r>
        <w:t xml:space="preserve">roles to the user.)</w:t>
      </w:r>
    </w:p>
    <w:bookmarkEnd w:id="31"/>
    <w:bookmarkStart w:id="32" w:name="frequency-model"/>
    <w:p>
      <w:pPr>
        <w:pStyle w:val="Heading2"/>
      </w:pPr>
      <w:r>
        <w:t xml:space="preserve">Frequency model</w:t>
      </w:r>
    </w:p>
    <w:p>
      <w:pPr>
        <w:pStyle w:val="FirstParagraph"/>
      </w:pPr>
      <w:r>
        <w:t xml:space="preserve">The frequency is calibrated from the annual counts of losses</w:t>
      </w:r>
      <w:r>
        <w:t xml:space="preserve"> </w:t>
      </w:r>
      <w:r>
        <w:rPr>
          <w:b/>
          <w:bCs/>
        </w:rPr>
        <w:t xml:space="preserve">above the</w:t>
      </w:r>
      <w:r>
        <w:rPr>
          <w:b/>
          <w:bCs/>
        </w:rPr>
        <w:t xml:space="preserve"> </w:t>
      </w:r>
      <w:r>
        <w:rPr>
          <w:b/>
          <w:bCs/>
        </w:rPr>
        <w:t xml:space="preserve">modelling threshold</w:t>
      </w:r>
      <w:r>
        <w:t xml:space="preserve"> </w:t>
      </w:r>
      <w:r>
        <w:t xml:space="preserve">(the same conditioning used for the severity, so the two</w:t>
      </w:r>
      <w:r>
        <w:t xml:space="preserve"> </w:t>
      </w:r>
      <w:r>
        <w:t xml:space="preserve">are coherent). The user can choose one of three distributions; Poisson is the</w:t>
      </w:r>
      <w:r>
        <w:t xml:space="preserve"> </w:t>
      </w:r>
      <w:r>
        <w:t xml:space="preserve">principled default because reinsurance data is usually too sparse to select a</w:t>
      </w:r>
      <w:r>
        <w:t xml:space="preserve"> </w:t>
      </w:r>
      <w:r>
        <w:t xml:space="preserve">distribution class from the data alone.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the mean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variance of the annual counts.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Poisson.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m</m:t>
        </m:r>
      </m:oMath>
      <w:r>
        <w:t xml:space="preserve">, that is, over-dispersion). Method of</w:t>
      </w:r>
      <w:r>
        <w:t xml:space="preserve"> </w:t>
      </w:r>
      <w:r>
        <w:t xml:space="preserve">moments: size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r>
          <m:t>m</m:t>
        </m:r>
      </m:oMath>
      <w:r>
        <w:t xml:space="preserve">, that is, under-dispersion). Method of moments: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number of trials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d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p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The fitted mean is then scaled to the prospective book by the frequency factor</w:t>
      </w:r>
      <w:r>
        <w:t xml:space="preserve"> </w:t>
      </w:r>
      <m:oMath>
        <m:sSup>
          <m:e>
            <m:r>
              <m:t>f</m:t>
            </m:r>
          </m:e>
          <m:sup>
            <m:r>
              <m:t>f</m:t>
            </m:r>
            <m:r>
              <m:t>r</m:t>
            </m:r>
            <m:r>
              <m:t>e</m:t>
            </m:r>
            <m:r>
              <m:t>q</m:t>
            </m:r>
          </m:sup>
        </m:sSup>
      </m:oMath>
      <w:r>
        <w:t xml:space="preserve"> </w:t>
      </w:r>
      <w:r>
        <w:t xml:space="preserve">above (</w:t>
      </w:r>
      <w:r>
        <w:rPr>
          <w:rStyle w:val="VerbatimChar"/>
        </w:rPr>
        <w:t xml:space="preserve">scale_frequency</w:t>
      </w:r>
      <w:r>
        <w:t xml:space="preserve">): Poisson and Negative Binomial scale their</w:t>
      </w:r>
      <w:r>
        <w:t xml:space="preserve"> </w:t>
      </w:r>
      <w:r>
        <w:t xml:space="preserve">mean parameter directly, Binomial scales the number of trials.</w:t>
      </w:r>
    </w:p>
    <w:bookmarkEnd w:id="32"/>
    <w:bookmarkStart w:id="33" w:name="Xd353b7801f436a21ecec13840437007e0076671"/>
    <w:p>
      <w:pPr>
        <w:pStyle w:val="Heading2"/>
      </w:pPr>
      <w:r>
        <w:t xml:space="preserve">Severity model: spliced lognormal and Pareto</w:t>
      </w:r>
    </w:p>
    <w:p>
      <w:pPr>
        <w:pStyle w:val="FirstParagraph"/>
      </w:pPr>
      <w:r>
        <w:t xml:space="preserve">The severity is modelled</w:t>
      </w:r>
      <w:r>
        <w:t xml:space="preserve"> </w:t>
      </w:r>
      <w:r>
        <w:rPr>
          <w:b/>
          <w:bCs/>
        </w:rPr>
        <w:t xml:space="preserve">conditional on a loss exceeding the modelling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 MT</w:t>
      </w:r>
      <w:r>
        <w:t xml:space="preserve">, because only those losses enter the model. Above MT the</w:t>
      </w:r>
      <w:r>
        <w:t xml:space="preserve"> </w:t>
      </w:r>
      <w:r>
        <w:t xml:space="preserve">distribution is spliced at a higher point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splice threshold):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Body, for</w:t>
      </w:r>
      <w:r>
        <w:rPr>
          <w:b/>
          <w:bCs/>
        </w:rPr>
        <w:t xml:space="preserve"> </w:t>
      </w:r>
      <m:oMath>
        <m:r>
          <m:t>M</m:t>
        </m:r>
        <m:r>
          <m:t>T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lognormal</w:t>
      </w:r>
      <m:oMath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t xml:space="preserve"> </w:t>
      </w:r>
      <w:r>
        <w:t xml:space="preserve">fitted by maximum</w:t>
      </w:r>
      <w:r>
        <w:t xml:space="preserve"> </w:t>
      </w:r>
      <w:r>
        <w:t xml:space="preserve">likelihood (via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) on the indexed losses in that range, used as a</w:t>
      </w:r>
      <w:r>
        <w:t xml:space="preserve"> </w:t>
      </w:r>
      <w:r>
        <w:t xml:space="preserve">lognormal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Tail, for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Pareto with lower bound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estimated by maximum likelihood: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α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s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over the losses above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Tail weight:</w:t>
      </w:r>
      <w:r>
        <w:t xml:space="preserve"> </w:t>
      </w:r>
      <w:r>
        <w:t xml:space="preserve">the empirical probability of being in the tail given a</w:t>
      </w:r>
      <w:r>
        <w:t xml:space="preserve"> </w:t>
      </w:r>
      <w:r>
        <w:t xml:space="preserve">modelled loss,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}</m:t>
              </m:r>
            </m:num>
            <m:den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body is weighted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and the tail by</w:t>
      </w:r>
      <w:r>
        <w:t xml:space="preserve"> </w:t>
      </w:r>
      <m:oMath>
        <m:r>
          <m:t>w</m:t>
        </m:r>
      </m:oMath>
      <w:r>
        <w:t xml:space="preserve">, with the Pareto</w:t>
      </w:r>
      <w:r>
        <w:t xml:space="preserve"> </w:t>
      </w:r>
      <w:r>
        <w:t xml:space="preserve">anchored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, the conditional mixture is continuous at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Conditional survival function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t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&gt;</m:t>
            </m:r>
            <m:r>
              <m:t>M</m:t>
            </m:r>
            <m:r>
              <m:t>T</m:t>
            </m:r>
          </m:e>
        </m:d>
      </m:oMath>
      <w:r>
        <w:t xml:space="preserve">, used both for</w:t>
      </w:r>
      <w:r>
        <w:t xml:space="preserve"> </w:t>
      </w:r>
      <w:r>
        <w:t xml:space="preserve">sampling intuition and directly by the validation oracle: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M</m:t>
                    </m:r>
                    <m:r>
                      <m:t>T</m:t>
                    </m:r>
                  </m:e>
                </m:mr>
                <m:m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w</m:t>
                        </m:r>
                      </m:e>
                    </m:d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M</m:t>
                            </m:r>
                            <m:r>
                              <m:t>T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</m:e>
                  <m:e>
                    <m:r>
                      <m:t>M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</m:e>
                </m:mr>
                <m:mr>
                  <m:e>
                    <m:r>
                      <m:t>w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t</m:t>
                                </m:r>
                              </m:num>
                              <m:den>
                                <m:r>
                                  <m:t>s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ln</m:t>
            </m:r>
          </m:sub>
        </m:sSub>
      </m:oMath>
      <w:r>
        <w:t xml:space="preserve"> </w:t>
      </w:r>
      <w:r>
        <w:t xml:space="preserve">is the lognormal CDF.</w:t>
      </w:r>
    </w:p>
    <w:p>
      <w:pPr>
        <w:pStyle w:val="BodyText"/>
      </w:pPr>
      <w:r>
        <w:rPr>
          <w:b/>
          <w:bCs/>
        </w:rPr>
        <w:t xml:space="preserve">Threshold choice.</w:t>
      </w:r>
      <w:r>
        <w:t xml:space="preserve"> </w:t>
      </w:r>
      <w:r>
        <w:t xml:space="preserve">Setting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M</m:t>
        </m:r>
        <m:r>
          <m:t>T</m:t>
        </m:r>
      </m:oMath>
      <w:r>
        <w:t xml:space="preserve"> </w:t>
      </w:r>
      <w:r>
        <w:t xml:space="preserve">empties the body and collapses the model</w:t>
      </w:r>
      <w:r>
        <w:t xml:space="preserve"> </w:t>
      </w:r>
      <w:r>
        <w:t xml:space="preserve">to a single Pareto. The dashboard shows the fitted versus empirical severity CDF,</w:t>
      </w:r>
      <w:r>
        <w:t xml:space="preserve"> </w:t>
      </w:r>
      <w:r>
        <w:t xml:space="preserve">which updates live as the thresholds move so the user can see how well the fit</w:t>
      </w:r>
      <w:r>
        <w:t xml:space="preserve"> </w:t>
      </w:r>
      <w:r>
        <w:t xml:space="preserve">matches the data and choose where the tail begins.</w:t>
      </w:r>
    </w:p>
    <w:bookmarkEnd w:id="33"/>
    <w:bookmarkStart w:id="34" w:name="monte-carlo-simulation"/>
    <w:p>
      <w:pPr>
        <w:pStyle w:val="Heading2"/>
      </w:pPr>
      <w:r>
        <w:t xml:space="preserve">Monte Carlo simulation</w:t>
      </w:r>
    </w:p>
    <w:p>
      <w:pPr>
        <w:pStyle w:val="FirstParagraph"/>
      </w:pPr>
      <w:r>
        <w:t xml:space="preserve">The simulation builds the distribution of the reinsured loss by drawing many</w:t>
      </w:r>
      <w:r>
        <w:t xml:space="preserve"> </w:t>
      </w:r>
      <w:r>
        <w:t xml:space="preserve">possible years from the fitted models. For a fixed random seed (so runs are</w:t>
      </w:r>
      <w:r>
        <w:t xml:space="preserve"> </w:t>
      </w:r>
      <w:r>
        <w:t xml:space="preserve">reproducible), each of the</w:t>
      </w:r>
      <w:r>
        <w:t xml:space="preserve"> </w:t>
      </w:r>
      <w:r>
        <w:rPr>
          <w:rStyle w:val="VerbatimChar"/>
        </w:rPr>
        <w:t xml:space="preserve">n_simulations</w:t>
      </w:r>
      <w:r>
        <w:t xml:space="preserve"> </w:t>
      </w:r>
      <w:r>
        <w:t xml:space="preserve">iterations does the following: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count.</w:t>
      </w:r>
      <w:r>
        <w:t xml:space="preserve"> </w:t>
      </w:r>
      <w:r>
        <w:t xml:space="preserve">Draw the annual number of losses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the fitted</w:t>
      </w:r>
      <w:r>
        <w:t xml:space="preserve"> </w:t>
      </w:r>
      <w:r>
        <w:t xml:space="preserve">frequency distribution (</w:t>
      </w:r>
      <w:r>
        <w:rPr>
          <w:rStyle w:val="VerbatimChar"/>
        </w:rPr>
        <w:t xml:space="preserve">sample_frequency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severities.</w:t>
      </w:r>
      <w:r>
        <w:t xml:space="preserve"> </w:t>
      </w:r>
      <w:r>
        <w:t xml:space="preserve">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 sizes from the spliced severity</w:t>
      </w:r>
      <w:r>
        <w:t xml:space="preserve"> </w:t>
      </w:r>
      <w:r>
        <w:t xml:space="preserve">conditional on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M</m:t>
        </m:r>
        <m:r>
          <m:t>T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sample_severity</w:t>
      </w:r>
      <w:r>
        <w:t xml:space="preserve">). Each draw uses inverse-CDF</w:t>
      </w:r>
      <w:r>
        <w:t xml:space="preserve"> </w:t>
      </w:r>
      <w:r>
        <w:t xml:space="preserve">sampling: with probability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it comes from the Pareto tail,</w:t>
      </w:r>
      <w:r>
        <w:t xml:space="preserve"> </w:t>
      </w:r>
      <m:oMath>
        <m:r>
          <m:t>s</m:t>
        </m:r>
        <m:r>
          <m:rPr>
            <m:sty m:val="p"/>
          </m:rPr>
          <m:t>⋅</m:t>
        </m:r>
        <m:sSup>
          <m:e>
            <m:r>
              <m:t>U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; otherwise from the lognormal body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This produces, for each simulated year, the list of ground-up losses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simulate.R</w:t>
      </w:r>
      <w:r>
        <w:t xml:space="preserve">). The layers are then applied to each year (</w:t>
      </w:r>
      <w:r>
        <w:rPr>
          <w:rStyle w:val="VerbatimChar"/>
        </w:rPr>
        <w:t xml:space="preserve">price.R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Applying a layer.</w:t>
      </w:r>
      <w:r>
        <w:t xml:space="preserve"> </w:t>
      </w:r>
      <w:r>
        <w:t xml:space="preserve">For a layer of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excess of deductible</w:t>
      </w:r>
      <w:r>
        <w:t xml:space="preserve"> </w:t>
      </w:r>
      <m:oMath>
        <m:r>
          <m:t>D</m:t>
        </m:r>
      </m:oMath>
      <w:r>
        <w:t xml:space="preserve">, each</w:t>
      </w:r>
      <w:r>
        <w:t xml:space="preserve"> </w:t>
      </w:r>
      <w:r>
        <w:t xml:space="preserve">loss contributes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max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C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per-loss recoveries are summed over the year, and then the annual</w:t>
      </w:r>
      <w:r>
        <w:t xml:space="preserve"> </w:t>
      </w:r>
      <w:r>
        <w:t xml:space="preserve">aggregate features are applied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deductible (AAD):</w:t>
      </w:r>
      <w:r>
        <w:t xml:space="preserve"> </w:t>
      </w:r>
      <w:r>
        <w:t xml:space="preserve">the layer absorbs the first AAD of</w:t>
      </w:r>
      <w:r>
        <w:t xml:space="preserve"> </w:t>
      </w:r>
      <w:r>
        <w:t xml:space="preserve">aggregate loss, so the aggregate becomes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AAD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A</w:t>
      </w:r>
      <w:r>
        <w:t xml:space="preserve"> </w:t>
      </w:r>
      <w:r>
        <w:t xml:space="preserve">blank or zero AAD means no aggregate deductible.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limit (AAL):</w:t>
      </w:r>
      <w:r>
        <w:t xml:space="preserve"> </w:t>
      </w:r>
      <w:r>
        <w:t xml:space="preserve">the aggregate is capped at AAL, so it</w:t>
      </w:r>
      <w:r>
        <w:t xml:space="preserve"> </w:t>
      </w:r>
      <w:r>
        <w:t xml:space="preserve">becomes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AAL</m:t>
            </m:r>
          </m:e>
        </m:d>
      </m:oMath>
      <w:r>
        <w:t xml:space="preserve">. A blank or zero AAL means an unlimited</w:t>
      </w:r>
      <w:r>
        <w:t xml:space="preserve"> </w:t>
      </w:r>
      <w:r>
        <w:t xml:space="preserve">aggregate.</w:t>
      </w:r>
    </w:p>
    <w:p>
      <w:pPr>
        <w:pStyle w:val="FirstParagraph"/>
      </w:pPr>
      <w:r>
        <w:t xml:space="preserve">A blank aggregate is deliberately distinguished from a value of 0 in the</w:t>
      </w:r>
      <w:r>
        <w:t xml:space="preserve"> </w:t>
      </w:r>
      <w:r>
        <w:t xml:space="preserve">dashboard: blank turns the control off, while 0 would mean a zero deductible or</w:t>
      </w:r>
      <w:r>
        <w:t xml:space="preserve"> </w:t>
      </w:r>
      <w:r>
        <w:t xml:space="preserve">a zero limit. Reinstatements are not modelled.</w:t>
      </w:r>
    </w:p>
    <w:bookmarkEnd w:id="34"/>
    <w:bookmarkStart w:id="35" w:name="premium-principles-and-risk-metrics"/>
    <w:p>
      <w:pPr>
        <w:pStyle w:val="Heading2"/>
      </w:pPr>
      <w:r>
        <w:t xml:space="preserve">Premium principles and risk metrics</w:t>
      </w:r>
    </w:p>
    <w:p>
      <w:pPr>
        <w:pStyle w:val="FirstParagraph"/>
      </w:pPr>
      <w:r>
        <w:t xml:space="preserve">Collecting the reinsured aggregate loss across all simulated years gives the</w:t>
      </w:r>
      <w:r>
        <w:t xml:space="preserve"> </w:t>
      </w:r>
      <w:r>
        <w:t xml:space="preserve">empirical loss distribution for each layer. From it (</w:t>
      </w:r>
      <w:r>
        <w:rPr>
          <w:rStyle w:val="VerbatimChar"/>
        </w:rPr>
        <w:t xml:space="preserve">price_layer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Expected loss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simulated mean.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Standard deviation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volatility of the annual loss.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Value at Risk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annual loss at the</w:t>
      </w:r>
      <w:r>
        <w:t xml:space="preserve"> </w:t>
      </w:r>
      <w:r>
        <w:t xml:space="preserve">user-chosen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(default 0.99).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Tail Value at Risk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 mean of the losses at or above</w:t>
      </w:r>
      <w:r>
        <w:t xml:space="preserve"> </w:t>
      </w:r>
      <w:r>
        <w:t xml:space="preserve">the VaR.</w:t>
      </w:r>
    </w:p>
    <w:p>
      <w:pPr>
        <w:pStyle w:val="FirstParagraph"/>
      </w:pPr>
      <w:r>
        <w:t xml:space="preserve">Two premium principles are reported, both driven by user-set loadings: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E</m:t>
                  </m:r>
                  <m:r>
                    <m:t>V</m:t>
                  </m:r>
                </m:sub>
              </m:sSub>
            </m:e>
          </m:d>
          <m:r>
            <m:t> 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S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S</m:t>
              </m:r>
              <m:r>
                <m:t>D</m:t>
              </m:r>
            </m:sub>
          </m:sSub>
          <m: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d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.</m:t>
          </m:r>
        </m:oMath>
      </m:oMathPara>
    </w:p>
    <w:bookmarkEnd w:id="35"/>
    <w:bookmarkStart w:id="36" w:name="validation-an-independent-oracle"/>
    <w:p>
      <w:pPr>
        <w:pStyle w:val="Heading2"/>
      </w:pPr>
      <w:r>
        <w:t xml:space="preserve">Validation: an independent oracle</w:t>
      </w:r>
    </w:p>
    <w:p>
      <w:pPr>
        <w:pStyle w:val="FirstParagraph"/>
      </w:pPr>
      <w:r>
        <w:t xml:space="preserve">The simulation is cross-checked by a calculation that shares none of its</w:t>
      </w:r>
      <w:r>
        <w:t xml:space="preserve"> </w:t>
      </w:r>
      <w:r>
        <w:t xml:space="preserve">machinery. The expected loss to a layer can be written, via the layer-integral</w:t>
      </w:r>
      <w:r>
        <w:t xml:space="preserve"> </w:t>
      </w:r>
      <w:r>
        <w:t xml:space="preserve">(</w:t>
      </w:r>
      <w:r>
        <w:t xml:space="preserve">“Darth Vader”</w:t>
      </w:r>
      <w:r>
        <w:t xml:space="preserve">) identity, as the integral of the survival function over the</w:t>
      </w:r>
      <w:r>
        <w:t xml:space="preserve"> </w:t>
      </w:r>
      <w:r>
        <w:t xml:space="preserve">layer, multiplied by the expected frequency: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⋅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D</m:t>
              </m:r>
            </m:sub>
            <m:sup>
              <m:r>
                <m:t>D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  <m:e>
              <m:r>
                <m:t>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tool computes this integral by</w:t>
      </w:r>
      <w:r>
        <w:t xml:space="preserve"> </w:t>
      </w:r>
      <w:r>
        <w:rPr>
          <w:b/>
          <w:bCs/>
        </w:rPr>
        <w:t xml:space="preserve">deterministic numerical integration</w:t>
      </w:r>
      <w:r>
        <w:t xml:space="preserve"> </w:t>
      </w:r>
      <w:r>
        <w:t xml:space="preserve">of</w:t>
      </w:r>
      <w:r>
        <w:t xml:space="preserve"> </w:t>
      </w:r>
      <w:r>
        <w:t xml:space="preserve">the conditional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expected_layer_loss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validate.R</w:t>
      </w:r>
      <w:r>
        <w:t xml:space="preserve">), so it is</w:t>
      </w:r>
      <w:r>
        <w:t xml:space="preserve"> </w:t>
      </w:r>
      <w:r>
        <w:t xml:space="preserve">genuinely independent of the Monte Carlo path. As the number of simulations</w:t>
      </w:r>
      <w:r>
        <w:t xml:space="preserve"> </w:t>
      </w:r>
      <w:r>
        <w:t xml:space="preserve">grows, the simulated expected loss must converge to this oracle; the dashboard’s</w:t>
      </w:r>
      <w:r>
        <w:t xml:space="preserve"> </w:t>
      </w:r>
      <w:r>
        <w:t xml:space="preserve">Validation table shows both and their difference per layer.</w:t>
      </w:r>
    </w:p>
    <w:p>
      <w:pPr>
        <w:pStyle w:val="BodyText"/>
      </w:pPr>
      <w:r>
        <w:t xml:space="preserve">For a layer that sits entirely in the Pareto tail (</w:t>
      </w:r>
      <m:oMath>
        <m:r>
          <m:t>D</m:t>
        </m:r>
        <m:r>
          <m:rPr>
            <m:sty m:val="p"/>
          </m:rPr>
          <m:t>≥</m:t>
        </m:r>
        <m:r>
          <m:t>s</m:t>
        </m:r>
      </m:oMath>
      <w:r>
        <w:t xml:space="preserve">) the integral has a</w:t>
      </w:r>
      <w:r>
        <w:t xml:space="preserve"> </w:t>
      </w:r>
      <w:r>
        <w:t xml:space="preserve">closed form, which is kept as a unit-test anchor that the numerical integrator</w:t>
      </w:r>
      <w:r>
        <w:t xml:space="preserve"> </w:t>
      </w:r>
      <w:r>
        <w:t xml:space="preserve">must match: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α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e>
          </m:d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validation applies to the per-layer expected loss; the aggregate features</w:t>
      </w:r>
      <w:r>
        <w:t xml:space="preserve"> </w:t>
      </w:r>
      <w:r>
        <w:t xml:space="preserve">(AAD and AAL) and the volatility and tail metrics come from the simulation only.</w:t>
      </w:r>
    </w:p>
    <w:p>
      <w:pPr>
        <w:pStyle w:val="BodyText"/>
      </w:pPr>
      <w:r>
        <w:t xml:space="preserve">Alongside the oracle, the Validation table also shows the</w:t>
      </w:r>
      <w:r>
        <w:t xml:space="preserve"> </w:t>
      </w:r>
      <w:r>
        <w:rPr>
          <w:b/>
          <w:bCs/>
        </w:rPr>
        <w:t xml:space="preserve">burning cost</w:t>
      </w:r>
      <w:r>
        <w:t xml:space="preserve">: the</w:t>
      </w:r>
      <w:r>
        <w:t xml:space="preserve"> </w:t>
      </w:r>
      <w:r>
        <w:t xml:space="preserve">average annual loss to each layer taken straight from the history, on an as-if</w:t>
      </w:r>
      <w:r>
        <w:t xml:space="preserve"> </w:t>
      </w:r>
      <w:r>
        <w:t xml:space="preserve">basis (every past loss indexed for inflation and corrected for exposure, as if it</w:t>
      </w:r>
      <w:r>
        <w:t xml:space="preserve"> </w:t>
      </w:r>
      <w:r>
        <w:t xml:space="preserve">had happened in the valuation year). Unlike the oracle, this carries no model, so</w:t>
      </w:r>
      <w:r>
        <w:t xml:space="preserve"> </w:t>
      </w:r>
      <w:r>
        <w:t xml:space="preserve">it is the external sense-check. Where the history is thick the modelled expected</w:t>
      </w:r>
      <w:r>
        <w:t xml:space="preserve"> </w:t>
      </w:r>
      <w:r>
        <w:t xml:space="preserve">loss should sit close to it; for a high layer above the historical experience the</w:t>
      </w:r>
      <w:r>
        <w:t xml:space="preserve"> </w:t>
      </w:r>
      <w:r>
        <w:t xml:space="preserve">burning cost reads near zero and the fitted Pareto tail is doing the work, which</w:t>
      </w:r>
      <w:r>
        <w:t xml:space="preserve"> </w:t>
      </w:r>
      <w:r>
        <w:t xml:space="preserve">is exactly where a parametric model earns its keep.</w:t>
      </w:r>
    </w:p>
    <w:bookmarkEnd w:id="36"/>
    <w:bookmarkStart w:id="37" w:name="assumptions-and-limitations"/>
    <w:p>
      <w:pPr>
        <w:pStyle w:val="Heading2"/>
      </w:pPr>
      <w:r>
        <w:t xml:space="preserve">Assumptions and limitations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Short-tail business.</w:t>
      </w:r>
      <w:r>
        <w:t xml:space="preserve"> </w:t>
      </w:r>
      <w:r>
        <w:t xml:space="preserve">The tool assumes losses are essentially fully</w:t>
      </w:r>
      <w:r>
        <w:t xml:space="preserve"> </w:t>
      </w:r>
      <w:r>
        <w:t xml:space="preserve">developed; there is no loss development or IBNR allowance.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Non-proportional only.</w:t>
      </w:r>
      <w:r>
        <w:t xml:space="preserve"> </w:t>
      </w:r>
      <w:r>
        <w:t xml:space="preserve">It prices per-risk excess-of-loss programs.</w:t>
      </w:r>
      <w:r>
        <w:t xml:space="preserve"> </w:t>
      </w:r>
      <w:r>
        <w:t xml:space="preserve">Proportional treaties are not yet supported.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reinstatements.</w:t>
      </w:r>
      <w:r>
        <w:t xml:space="preserve"> </w:t>
      </w:r>
      <w:r>
        <w:t xml:space="preserve">The annual aggregate is the sum of per-loss recoveries</w:t>
      </w:r>
      <w:r>
        <w:t xml:space="preserve"> </w:t>
      </w:r>
      <w:r>
        <w:t xml:space="preserve">subject to AAD then AAL.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catastrophe model or exposure curves.</w:t>
      </w:r>
      <w:r>
        <w:t xml:space="preserve"> </w:t>
      </w:r>
      <w:r>
        <w:t xml:space="preserve">Pricing is purely experience</w:t>
      </w:r>
      <w:r>
        <w:t xml:space="preserve"> </w:t>
      </w:r>
      <w:r>
        <w:t xml:space="preserve">based; there are no exposure rating curves or natural catastrophe models.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Distribution selection.</w:t>
      </w:r>
      <w:r>
        <w:t xml:space="preserve"> </w:t>
      </w:r>
      <w:r>
        <w:t xml:space="preserve">The frequency class is chosen by the user, not</w:t>
      </w:r>
      <w:r>
        <w:t xml:space="preserve"> </w:t>
      </w:r>
      <w:r>
        <w:t xml:space="preserve">selected from the data, because reinsurance data is typically too sparse to</w:t>
      </w:r>
      <w:r>
        <w:t xml:space="preserve"> </w:t>
      </w:r>
      <w:r>
        <w:t xml:space="preserve">support that choice.</w:t>
      </w:r>
    </w:p>
    <w:bookmarkEnd w:id="37"/>
    <w:bookmarkStart w:id="38" w:name="future-work"/>
    <w:p>
      <w:pPr>
        <w:pStyle w:val="Heading2"/>
      </w:pPr>
      <w:r>
        <w:t xml:space="preserve">Future work</w:t>
      </w:r>
    </w:p>
    <w:p>
      <w:pPr>
        <w:pStyle w:val="FirstParagraph"/>
      </w:pPr>
      <w:r>
        <w:t xml:space="preserve">Several extensions were planned but deferred from v1, and the engine was</w:t>
      </w:r>
      <w:r>
        <w:t xml:space="preserve"> </w:t>
      </w:r>
      <w:r>
        <w:t xml:space="preserve">structured to accommodate them without rework: proportional treaties (quota</w:t>
      </w:r>
      <w:r>
        <w:t xml:space="preserve"> </w:t>
      </w:r>
      <w:r>
        <w:t xml:space="preserve">share and surplus), loss development and IBNR for long-tail lines, exposure</w:t>
      </w:r>
      <w:r>
        <w:t xml:space="preserve"> </w:t>
      </w:r>
      <w:r>
        <w:t xml:space="preserve">rating curves for low-data lines, and portfolio aggregation across several lines</w:t>
      </w:r>
      <w:r>
        <w:t xml:space="preserve"> </w:t>
      </w:r>
      <w:r>
        <w:t xml:space="preserve">of business (v1 prices a single book at a time).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4"/>
        </w:numPr>
      </w:pPr>
      <w:r>
        <w:t xml:space="preserve">P. Arbenz,</w:t>
      </w:r>
      <w:r>
        <w:t xml:space="preserve"> </w:t>
      </w:r>
      <w:r>
        <w:rPr>
          <w:i/>
          <w:iCs/>
        </w:rPr>
        <w:t xml:space="preserve">Reinsurance Analytics</w:t>
      </w:r>
      <w:r>
        <w:t xml:space="preserve">, FS 2026, Section 2.8 (experience pricing).</w:t>
      </w:r>
      <w:r>
        <w:t xml:space="preserve"> </w:t>
      </w:r>
      <w:r>
        <w:t xml:space="preserve">This third-party material is kept locally and is not distributed with the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14"/>
        </w:numPr>
      </w:pPr>
      <w:r>
        <w:t xml:space="preserve">The design and methodology are documented here; the implementation is in the</w:t>
      </w:r>
      <w:r>
        <w:t xml:space="preserve"> </w:t>
      </w:r>
      <w:r>
        <w:t xml:space="preserve">R modules under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, each with a matching test in</w:t>
      </w:r>
      <w:r>
        <w:t xml:space="preserve"> </w:t>
      </w:r>
      <w:r>
        <w:rPr>
          <w:rStyle w:val="VerbatimChar"/>
        </w:rPr>
        <w:t xml:space="preserve">engine/tests/testthat/</w:t>
      </w:r>
      <w:r>
        <w:t xml:space="preserve">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Paco’s Pricing Pipeline</dc:title>
  <dc:creator>Francisco Martinez Checa</dc:creator>
  <cp:keywords/>
  <dcterms:created xsi:type="dcterms:W3CDTF">2026-06-28T18:26:36Z</dcterms:created>
  <dcterms:modified xsi:type="dcterms:W3CDTF">2026-06-28T18:26:36Z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Technical and Actuarial Documentation</vt:lpwstr>
  </property>
</Properties>
</file>