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</w:t>
      </w:r>
      <w:r>
        <w:t xml:space="preserve"> </w:t>
      </w:r>
      <w:r>
        <w:t xml:space="preserve">Pricing</w:t>
      </w:r>
      <w:r>
        <w:t xml:space="preserve"> </w:t>
      </w:r>
      <w:r>
        <w:t xml:space="preserve">Pipeline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and</w:t>
      </w:r>
      <w:r>
        <w:t xml:space="preserve"> </w:t>
      </w:r>
      <w:r>
        <w:t xml:space="preserve">Actuarial</w:t>
      </w:r>
      <w:r>
        <w:t xml:space="preserve"> </w:t>
      </w:r>
      <w:r>
        <w:t xml:space="preserve">Documentation</w:t>
      </w:r>
    </w:p>
    <w:p>
      <w:pPr>
        <w:pStyle w:val="Author"/>
      </w:pPr>
      <w:r>
        <w:t xml:space="preserve">Francisco</w:t>
      </w:r>
      <w:r>
        <w:t xml:space="preserve"> </w:t>
      </w:r>
      <w:r>
        <w:t xml:space="preserve">Martinez</w:t>
      </w:r>
      <w:r>
        <w:t xml:space="preserve"> </w:t>
      </w:r>
      <w:r>
        <w:t xml:space="preserve">Checa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Cs/>
          <w:i/>
        </w:rPr>
        <w:t xml:space="preserve">Reinsurance</w:t>
      </w:r>
      <w:r>
        <w:rPr>
          <w:iCs/>
          <w:i/>
        </w:rPr>
        <w:t xml:space="preserve"> </w:t>
      </w:r>
      <w:r>
        <w:rPr>
          <w:iCs/>
          <w:i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</w:t>
      </w:r>
      <w:r>
        <w:t xml:space="preserve">More information</w:t>
      </w:r>
      <w:r>
        <w:t xml:space="preserve">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1900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p>
      <w:pPr>
        <w:pStyle w:val="BodyText"/>
      </w:pPr>
      <w:r>
        <w:t xml:space="preserve">Some company computers block script files (</w:t>
      </w:r>
      <w:r>
        <w:rPr>
          <w:rStyle w:val="VerbatimChar"/>
        </w:rPr>
        <w:t xml:space="preserve">.vbs</w:t>
      </w:r>
      <w:r>
        <w:t xml:space="preserve">) outright, so</w:t>
      </w:r>
      <w:r>
        <w:t xml:space="preserve"> </w:t>
      </w:r>
      <w:r>
        <w:t xml:space="preserve">double-clicking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does nothing.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, in the same top</w:t>
      </w:r>
      <w:r>
        <w:t xml:space="preserve"> </w:t>
      </w:r>
      <w:r>
        <w:t xml:space="preserve">folder, is the fallback for that case: open it in RStudio and click Source (or</w:t>
      </w:r>
      <w:r>
        <w:t xml:space="preserve"> </w:t>
      </w:r>
      <w:r>
        <w:t xml:space="preserve">press Ctrl+Shift+S). It does the same job as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, just launched through</w:t>
      </w:r>
      <w:r>
        <w:t xml:space="preserve"> </w:t>
      </w:r>
      <w:r>
        <w:t xml:space="preserve">R itself rather than a script file, which those blocks do not touch. It finds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folder next to itself, installs any missing packages the same way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 </w:t>
      </w:r>
      <w:r>
        <w:t xml:space="preserve">does, and opens the dashboard in the browser.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 in RStudio.R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launcher for when</w:t>
            </w:r>
            <w:r>
              <w:t xml:space="preserve"> </w:t>
            </w:r>
            <w:r>
              <w:rPr>
                <w:rStyle w:val="VerbatimChar"/>
              </w:rPr>
              <w:t xml:space="preserve">.vbs</w:t>
            </w:r>
            <w:r>
              <w:t xml:space="preserve"> </w:t>
            </w:r>
            <w:r>
              <w:t xml:space="preserve">files are blocked; run from inside RStudio.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Cs/>
          <w:b/>
        </w:rPr>
        <w:t xml:space="preserve">The everyday way is to just double-click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start.vbs</w:t>
      </w:r>
      <w:r>
        <w:rPr>
          <w:bCs/>
          <w:b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t xml:space="preserve">No commands and no R knowledge are required. If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files are blocked</w:t>
      </w:r>
      <w:r>
        <w:t xml:space="preserve"> </w:t>
      </w:r>
      <w:r>
        <w:t xml:space="preserve">on the machine, open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 </w:t>
      </w:r>
      <w:r>
        <w:t xml:space="preserve">in RStudio and click Source instead;</w:t>
      </w:r>
      <w:r>
        <w:t xml:space="preserve"> </w:t>
      </w:r>
      <w:r>
        <w:t xml:space="preserve">it does the same job through R rather than a script file.</w:t>
      </w:r>
    </w:p>
    <w:p>
      <w:pPr>
        <w:pStyle w:val="BodyText"/>
      </w:pPr>
      <w:r>
        <w:t xml:space="preserve">The rest of this section is for developers and advanced use only, and needs</w:t>
      </w:r>
      <w:r>
        <w:t xml:space="preserve"> </w:t>
      </w:r>
      <w:r>
        <w:t xml:space="preserve">the full source repository, not the release zip, since the release zip only</w:t>
      </w:r>
      <w:r>
        <w:t xml:space="preserve"> </w:t>
      </w:r>
      <w:r>
        <w:t xml:space="preserve">ships what an end user needs to run the tool and leaves out the test suite</w:t>
      </w:r>
      <w:r>
        <w:t xml:space="preserve"> </w:t>
      </w:r>
      <w:r>
        <w:t xml:space="preserve">and other developer-only files. These commands 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"shiny::runApp('.', launch.browser = TRUE)"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  <w:r>
        <w:t xml:space="preserve"> </w:t>
      </w:r>
      <w:r>
        <w:rPr>
          <w:rStyle w:val="VerbatimChar"/>
        </w:rPr>
        <w:t xml:space="preserve">launch.browser = TRUE</w:t>
      </w:r>
      <w:r>
        <w:t xml:space="preserve"> </w:t>
      </w:r>
      <w:r>
        <w:t xml:space="preserve">is</w:t>
      </w:r>
      <w:r>
        <w:t xml:space="preserve"> </w:t>
      </w:r>
      <w:r>
        <w:t xml:space="preserve">needed here because Shiny only opens a browser tab on its own in an</w:t>
      </w:r>
      <w:r>
        <w:t xml:space="preserve"> </w:t>
      </w:r>
      <w:r>
        <w:t xml:space="preserve">interactive session, and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is not interactive.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 </w:t>
      </w:r>
      <w:r>
        <w:t xml:space="preserve">(requires the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package, and the</w:t>
      </w:r>
      <w:r>
        <w:t xml:space="preserve"> </w:t>
      </w:r>
      <w:r>
        <w:rPr>
          <w:rStyle w:val="VerbatimChar"/>
        </w:rPr>
        <w:t xml:space="preserve">engine/tests/</w:t>
      </w:r>
      <w:r>
        <w:t xml:space="preserve"> </w:t>
      </w:r>
      <w:r>
        <w:t xml:space="preserve">folder, which is only in the source</w:t>
      </w:r>
      <w:r>
        <w:t xml:space="preserve"> </w:t>
      </w:r>
      <w:r>
        <w:t xml:space="preserve">repository).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2299"/>
        <w:gridCol w:w="2554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and scale Poisson or Negative Binomial; fit the Binomial on a count of 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Cs/>
          <w:b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Cs/>
          <w:b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Cs/>
          <w:b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Cs/>
          <w:b/>
        </w:rPr>
        <w:t xml:space="preserve">above the</w:t>
      </w:r>
      <w:r>
        <w:rPr>
          <w:bCs/>
          <w:b/>
        </w:rPr>
        <w:t xml:space="preserve"> </w:t>
      </w:r>
      <w:r>
        <w:rPr>
          <w:bCs/>
          <w:b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 It needs at least two</w:t>
      </w:r>
      <w:r>
        <w:t xml:space="preserve"> </w:t>
      </w:r>
      <w:r>
        <w:t xml:space="preserve">observed years.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Binomial</w:t>
      </w:r>
      <w:r>
        <w:t xml:space="preserve">, for a book of countable independent risks only. The number of</w:t>
      </w:r>
      <w:r>
        <w:t xml:space="preserve"> </w:t>
      </w:r>
      <w:r>
        <w:t xml:space="preserve">trials is never estimated from the counts: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unknown the</w:t>
      </w:r>
      <w:r>
        <w:t xml:space="preserve"> </w:t>
      </w:r>
      <w:r>
        <w:t xml:space="preserve">estimate is unstable (as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it runs off to infinity), and it</w:t>
      </w:r>
      <w:r>
        <w:t xml:space="preserve"> </w:t>
      </w:r>
      <w:r>
        <w:t xml:space="preserve">moves the support of the distribution with the noise in a few years of data.</w:t>
      </w:r>
      <w:r>
        <w:t xml:space="preserve"> </w:t>
      </w:r>
      <w:r>
        <w:t xml:space="preserve">Instead the exposure is read as the number of insured risks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 each</w:t>
      </w:r>
      <w:r>
        <w:t xml:space="preserve"> </w:t>
      </w:r>
      <w:r>
        <w:t xml:space="preserve">observed year</w:t>
      </w:r>
      <w:r>
        <w:t xml:space="preserve"> </w:t>
      </w:r>
      <m:oMath>
        <m:r>
          <m:t>t</m:t>
        </m:r>
      </m:oMath>
      <w:r>
        <w:t xml:space="preserve">, and each risk produces at most one loss above MT per year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p</m:t>
        </m:r>
      </m:oMath>
      <w:r>
        <w:t xml:space="preserve">, so the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 The maximum</w:t>
      </w:r>
      <w:r>
        <w:t xml:space="preserve"> </w:t>
      </w:r>
      <w:r>
        <w:t xml:space="preserve">likelihood estimate is the pooled rate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e>
        </m:nary>
      </m:oMath>
      <w:r>
        <w:t xml:space="preserve"> </w:t>
      </w:r>
      <w:r>
        <w:t xml:space="preserve">(claims over risk-years), and the</w:t>
      </w:r>
      <w:r>
        <w:t xml:space="preserve"> </w:t>
      </w:r>
      <w:r>
        <w:t xml:space="preserve">forward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the valuation-year</w:t>
      </w:r>
      <w:r>
        <w:t xml:space="preserve"> </w:t>
      </w:r>
      <w:r>
        <w:t xml:space="preserve">exposure (</w:t>
      </w:r>
      <w:r>
        <w:rPr>
          <w:rStyle w:val="VerbatimChar"/>
        </w:rPr>
        <w:t xml:space="preserve">fit_binomial_risks</w:t>
      </w:r>
      <w:r>
        <w:t xml:space="preserve">). The fit stops with a plain message when the</w:t>
      </w:r>
      <w:r>
        <w:t xml:space="preserve"> </w:t>
      </w:r>
      <w:r>
        <w:t xml:space="preserve">exposure cannot be a count of risks: a value that is not a whole number, a</w:t>
      </w:r>
      <w:r>
        <w:t xml:space="preserve"> </w:t>
      </w:r>
      <w:r>
        <w:t xml:space="preserve">year with more claims than risks, or no valuation-year row.</w:t>
      </w:r>
    </w:p>
    <w:p>
      <w:pPr>
        <w:pStyle w:val="FirstParagraph"/>
      </w:pPr>
      <w:r>
        <w:t xml:space="preserve">Because the tool cannot tell a count of risks from a monetary exposure by</w:t>
      </w:r>
      <w:r>
        <w:t xml:space="preserve"> </w:t>
      </w:r>
      <w:r>
        <w:t xml:space="preserve">looking at the numbers (150 buildings and 150 million of premium look the</w:t>
      </w:r>
      <w:r>
        <w:t xml:space="preserve"> </w:t>
      </w:r>
      <w:r>
        <w:t xml:space="preserve">same), the dashboard shows a prominent notice when the Binomial is selected,</w:t>
      </w:r>
      <w:r>
        <w:t xml:space="preserve"> </w:t>
      </w:r>
      <w:r>
        <w:t xml:space="preserve">with the live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, and the model is only used once the user ticks</w:t>
      </w:r>
      <w:r>
        <w:t xml:space="preserve"> </w:t>
      </w:r>
      <w:r>
        <w:t xml:space="preserve">“</w:t>
      </w:r>
      <w:r>
        <w:t xml:space="preserve">My exposure is the number of insured risks</w:t>
      </w:r>
      <w:r>
        <w:t xml:space="preserve">”</w:t>
      </w:r>
      <w:r>
        <w:t xml:space="preserve">. The confirmation resets when a</w:t>
      </w:r>
      <w:r>
        <w:t xml:space="preserve"> </w:t>
      </w:r>
      <w:r>
        <w:t xml:space="preserve">new workbook is uploaded, and the assumptions sheet of the export records it</w:t>
      </w:r>
      <w:r>
        <w:t xml:space="preserve"> </w:t>
      </w:r>
      <w:r>
        <w:t xml:space="preserve">together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. A monetary exposure in large units would give</w:t>
      </w:r>
      <w:r>
        <w:t xml:space="preserve"> </w:t>
      </w:r>
      <w:r>
        <w:t xml:space="preserve">a huge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tiny</w:t>
      </w:r>
      <w:r>
        <w:t xml:space="preserve"> </w:t>
      </w:r>
      <m:oMath>
        <m:r>
          <m:t>p</m:t>
        </m:r>
      </m:oMath>
      <w:r>
        <w:t xml:space="preserve">, which behaves almost exactly like a Poisson; the</w:t>
      </w:r>
      <w:r>
        <w:t xml:space="preserve"> </w:t>
      </w:r>
      <w:r>
        <w:t xml:space="preserve">harmful case is a monetary exposure that happens to be a small number, which</w:t>
      </w:r>
      <w:r>
        <w:t xml:space="preserve"> </w:t>
      </w:r>
      <w:r>
        <w:t xml:space="preserve">would cap the yearly count at that number.</w:t>
      </w:r>
    </w:p>
    <w:p>
      <w:pPr>
        <w:pStyle w:val="BodyText"/>
      </w:pPr>
      <w:r>
        <w:t xml:space="preserve">The Poisson and Negative Binomial means are then scaled to the prospective book</w:t>
      </w:r>
      <w:r>
        <w:t xml:space="preserve"> </w:t>
      </w:r>
      <w:r>
        <w:t xml:space="preserve">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). The Binomial needs</w:t>
      </w:r>
      <w:r>
        <w:t xml:space="preserve"> </w:t>
      </w:r>
      <w:r>
        <w:t xml:space="preserve">no scaling, since its number of trials is already the forward number of risks;</w:t>
      </w:r>
      <w:r>
        <w:t xml:space="preserve"> </w:t>
      </w:r>
      <w:r>
        <w:t xml:space="preserve">the pooled estimate gives the same expected count as scaling the Poisson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t> 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), with the extra structure that no year can exceed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claims.</w:t>
      </w:r>
      <w:r>
        <w:t xml:space="preserve"> </w:t>
      </w:r>
      <w:r>
        <w:t xml:space="preserve">The Model step’s frequency plot compares the empirical counts with the fit on</w:t>
      </w:r>
      <w:r>
        <w:t xml:space="preserve"> </w:t>
      </w:r>
      <w:r>
        <w:t xml:space="preserve">the observed basis: for the Binomial that is the average of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over the observed years</w:t>
      </w:r>
      <w:r>
        <w:t xml:space="preserve"> </w:t>
      </w:r>
      <w:r>
        <w:t xml:space="preserve">(</w:t>
      </w:r>
      <w:r>
        <w:rPr>
          <w:rStyle w:val="VerbatimChar"/>
        </w:rPr>
        <w:t xml:space="preserve">observed_frequency_pmf</w:t>
      </w:r>
      <w:r>
        <w:t xml:space="preserve">).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Cs/>
          <w:b/>
        </w:rPr>
        <w:t xml:space="preserve">conditional on a loss exceeding the modelling</w:t>
      </w:r>
      <w:r>
        <w:rPr>
          <w:bCs/>
          <w:b/>
        </w:rPr>
        <w:t xml:space="preserve"> </w:t>
      </w:r>
      <w:r>
        <w:rPr>
          <w:bCs/>
          <w:b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Body, for</w:t>
      </w:r>
      <w:r>
        <w:rPr>
          <w:bCs/>
          <w:b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Cs/>
          <w:b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Tail, for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Cs/>
          <w:b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Cs/>
          <w:b/>
        </w:rPr>
        <w:t xml:space="preserve">in this order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(expected shortfall), the mean of</w:t>
      </w:r>
      <w:r>
        <w:t xml:space="preserve"> </w:t>
      </w:r>
      <w:r>
        <w:t xml:space="preserve">the worst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 </w:t>
      </w:r>
      <w:r>
        <w:t xml:space="preserve">share of the simulated years: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simulated years, the</w:t>
      </w:r>
      <w:r>
        <w:t xml:space="preserve"> </w:t>
      </w:r>
      <w:r>
        <w:t xml:space="preserve">average of the largest</w:t>
      </w:r>
      <w:r>
        <w:t xml:space="preserve"> </w:t>
      </w:r>
      <m:oMath>
        <m:r>
          <m:rPr>
            <m:sty m:val="p"/>
          </m:rPr>
          <m:t>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  <m:r>
          <m:t> 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annual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expected_shortfall</w:t>
      </w:r>
      <w:r>
        <w:t xml:space="preserve">). This is deliberately not the mean of the losses at or</w:t>
      </w:r>
      <w:r>
        <w:t xml:space="preserve"> </w:t>
      </w:r>
      <w:r>
        <w:t xml:space="preserve">above the VaR. A layer’s annual loss has point masses, many years at exactly</w:t>
      </w:r>
      <w:r>
        <w:t xml:space="preserve"> </w:t>
      </w:r>
      <w:r>
        <w:t xml:space="preserve">0 (the layer is not hit) or at exactly the full limit (a loss exhausts it).</w:t>
      </w:r>
      <w:r>
        <w:t xml:space="preserve"> </w:t>
      </w:r>
      <w:r>
        <w:t xml:space="preserve">When the VaR lands on one of these,</w:t>
      </w:r>
      <w:r>
        <w:t xml:space="preserve"> </w:t>
      </w:r>
      <w:r>
        <w:t xml:space="preserve">“</w:t>
      </w:r>
      <w:r>
        <w:t xml:space="preserve">at or above the VaR</w:t>
      </w:r>
      <w:r>
        <w:t xml:space="preserve">”</w:t>
      </w:r>
      <w:r>
        <w:t xml:space="preserve"> </w:t>
      </w:r>
      <w:r>
        <w:t xml:space="preserve">takes in the whole</w:t>
      </w:r>
      <w:r>
        <w:t xml:space="preserve"> </w:t>
      </w:r>
      <w:r>
        <w:t xml:space="preserve">point mass, so it averages far more than the worst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 </w:t>
      </w:r>
      <w:r>
        <w:t xml:space="preserve">of years and</w:t>
      </w:r>
      <w:r>
        <w:t xml:space="preserve"> </w:t>
      </w:r>
      <w:r>
        <w:t xml:space="preserve">understates the tail; for a layer hit in fewer than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 </w:t>
      </w:r>
      <w:r>
        <w:t xml:space="preserve">of years the VaR</w:t>
      </w:r>
      <w:r>
        <w:t xml:space="preserve"> </w:t>
      </w:r>
      <w:r>
        <w:t xml:space="preserve">is 0 and that mean collapses to the expected loss. For a continuous loss</w:t>
      </w:r>
      <w:r>
        <w:t xml:space="preserve"> </w:t>
      </w:r>
      <w:r>
        <w:t xml:space="preserve">distribution the two definitions coincide; the expected shortfall is the</w:t>
      </w:r>
      <w:r>
        <w:t xml:space="preserve"> </w:t>
      </w:r>
      <w:r>
        <w:t xml:space="preserve">coherent one and stays correct with point masses.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endChr m:val="]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Cs/>
          <w:b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</w:t>
      </w:r>
      <w:r>
        <w:t xml:space="preserve">Darth Vader</w:t>
      </w:r>
      <w:r>
        <w:t xml:space="preserve">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Cs/>
          <w:b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Cs/>
          <w:b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14"/>
        </w:numPr>
        <w:pStyle w:val="Compact"/>
      </w:pPr>
      <w:r>
        <w:t xml:space="preserve">P. Arbenz,</w:t>
      </w:r>
      <w:r>
        <w:t xml:space="preserve"> </w:t>
      </w:r>
      <w:r>
        <w:rPr>
          <w:iCs/>
          <w:i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numPr>
          <w:ilvl w:val="0"/>
          <w:numId w:val="1014"/>
        </w:numPr>
        <w:pStyle w:val="Compact"/>
      </w:pPr>
      <w:r>
        <w:t xml:space="preserve">P. Parodi,</w:t>
      </w:r>
      <w:r>
        <w:t xml:space="preserve"> </w:t>
      </w:r>
      <w:r>
        <w:rPr>
          <w:iCs/>
          <w:i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numPr>
          <w:ilvl w:val="0"/>
          <w:numId w:val="1014"/>
        </w:numPr>
        <w:pStyle w:val="Compact"/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2026-10-09T12:57:15Z</dcterms:created>
  <dcterms:modified xsi:type="dcterms:W3CDTF">2026-10-09T12:57:15Z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