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Seguimiento — Jon</w:t>
      </w:r>
    </w:p>
    <w:p>
      <w:pPr>
        <w:jc w:val="center"/>
      </w:pPr>
      <w:r>
        <w:rPr>
          <w:color w:val="444444"/>
          <w:sz w:val="24"/>
        </w:rPr>
        <w:t>Asesor de Servicio · Acumulado hasta Marzo 2026</w:t>
      </w:r>
    </w:p>
    <w:p>
      <w:pPr>
        <w:jc w:val="center"/>
      </w:pPr>
      <w:r>
        <w:rPr>
          <w:color w:val="888888"/>
          <w:sz w:val="20"/>
        </w:rPr>
        <w:t>Fecha: 06/04/2026</w:t>
      </w:r>
    </w:p>
    <w:p/>
    <w:p>
      <w:pPr>
        <w:pStyle w:val="Heading1"/>
      </w:pPr>
      <w:r>
        <w:t>Proactividad comercial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Full/Long Drive: 14 operaciones realizadas, muy por encima de la media del equipo (8).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Desgaste: posición 18º con 176.10 pts, por debajo de la media del equipo (253.34 pts).</w:t>
      </w:r>
    </w:p>
    <w:p>
      <w:pPr>
        <w:pStyle w:val="ListBullet"/>
      </w:pPr>
      <w:r>
        <w:t>Desgaste — Amortiguadores: 6.29 pts, por debajo de la media (19.41 pts).</w:t>
      </w:r>
    </w:p>
    <w:p>
      <w:pPr>
        <w:pStyle w:val="ListBullet"/>
      </w:pPr>
      <w:r>
        <w:t>Desgaste — Baterías: 3.14 pts, por debajo de la media (10.92 pts).</w:t>
      </w:r>
    </w:p>
    <w:p>
      <w:pPr>
        <w:pStyle w:val="ListBullet"/>
      </w:pPr>
      <w:r>
        <w:t>Desgaste — Discos: 15.09 pts, por debajo de la media (19.86 pts).</w:t>
      </w:r>
    </w:p>
    <w:p>
      <w:pPr>
        <w:pStyle w:val="ListBullet"/>
      </w:pPr>
      <w:r>
        <w:t>Desgaste — Neumáticos: 59.75 pts, por debajo de la media (80.83 pts).</w:t>
      </w:r>
    </w:p>
    <w:p>
      <w:pPr>
        <w:pStyle w:val="ListBullet"/>
      </w:pPr>
      <w:r>
        <w:t>Desgaste — Parabrisas: 7.55 pts, por debajo de la media (16.82 pts).</w:t>
      </w:r>
    </w:p>
    <w:p>
      <w:pPr>
        <w:pStyle w:val="ListBullet"/>
      </w:pPr>
      <w:r>
        <w:t>Desgaste — Pastillas de freno: 35.85 pts, por debajo de la media (50.06 pts).</w:t>
      </w:r>
    </w:p>
    <w:p>
      <w:pPr>
        <w:pStyle w:val="ListBullet"/>
      </w:pPr>
      <w:r>
        <w:t>Fidelidad: sin dato disponible en este período.</w:t>
      </w:r>
    </w:p>
    <w:p/>
    <w:p>
      <w:pPr>
        <w:pStyle w:val="Heading1"/>
      </w:pPr>
      <w:r>
        <w:t>Digital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Calidad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CAL1SEM: 5.00 — resultado bueno.</w:t>
      </w:r>
    </w:p>
    <w:p/>
    <w:p>
      <w:pPr>
        <w:pStyle w:val="Heading1"/>
      </w:pPr>
      <w:r>
        <w:t>Procesos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Recursos generales</w:t>
      </w:r>
    </w:p>
    <w:p>
      <w:r>
        <w:rPr>
          <w:i/>
          <w:color w:val="999999"/>
        </w:rPr>
        <w:t>Sin datos registrados</w:t>
      </w:r>
    </w:p>
    <w:p/>
    <w:p>
      <w:pPr>
        <w:pStyle w:val="Heading1"/>
      </w:pPr>
      <w:r>
        <w:t>Horch Lauden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Posición 137 en la competición Horch Lauden. Resultado por mejorar: alejado de las posiciones de cabeza.</w:t>
      </w:r>
    </w:p>
    <w:p/>
    <w:p>
      <w:pPr>
        <w:pStyle w:val="Heading1"/>
      </w:pPr>
      <w:r>
        <w:t>Cuadro de Calidad CX 2026</w:t>
      </w:r>
    </w:p>
    <w:p>
      <w:r>
        <w:rPr>
          <w:b/>
        </w:rPr>
        <w:t>Canarias (51AQ3 AU) — Audi Service</w:t>
      </w:r>
    </w:p>
    <w:p>
      <w:r>
        <w:rPr>
          <w:b/>
        </w:rP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Satisfacción General (CEM Q4): 4,80 — 2/2 pts  |  Referencia: 0pts &lt;4,60 | 1pt ≥4,60 | 2pts ≥4,80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Medidas de Servicio (EC28): — — 1/2 pts  |  Referencia: 0pts &gt;5% | 1pt ≤5% | 2pts ≤1%</w:t>
      </w:r>
    </w:p>
    <w:p>
      <w:pPr>
        <w:pStyle w:val="ListBullet"/>
      </w:pPr>
      <w:r>
        <w:t>Conectividad Posventa: 43,94% — 1/2 pts  |  Referencia: 0pts &lt;25% | 1pt ≥25% | 2pts ≥45%</w:t>
      </w:r>
    </w:p>
    <w:p>
      <w:pPr>
        <w:pStyle w:val="ListBullet"/>
      </w:pPr>
      <w:r>
        <w:t>Información Proceso (TRS): 84,62% — 1/2 pts  |  Referencia: 0pts &lt;80% | 1pt ≥80% | 2pts ≥90%</w:t>
      </w:r>
    </w:p>
    <w:p/>
    <w:p>
      <w:pPr>
        <w:pStyle w:val="Heading1"/>
      </w:pPr>
      <w:r>
        <w:t>ONE KVPS — Semana 13 (2026)</w:t>
      </w:r>
    </w:p>
    <w:p>
      <w:r>
        <w:rPr>
          <w:b/>
          <w:color w:val="1A7A3C"/>
        </w:rPr>
        <w:t>Puntos positivos</w:t>
      </w:r>
    </w:p>
    <w:p>
      <w:pPr>
        <w:pStyle w:val="ListBullet"/>
      </w:pPr>
      <w:r>
        <w:t>Multimedia Acum.: 6,4 (media equipo: 5,6; bueno ≥5) — en rango positivo</w:t>
      </w:r>
    </w:p>
    <w:p>
      <w:r>
        <w:rPr>
          <w:b/>
          <w:color w:val="C0392B"/>
        </w:rPr>
        <w:t>Puntos a mejorar</w:t>
      </w:r>
    </w:p>
    <w:p>
      <w:pPr>
        <w:pStyle w:val="ListBullet"/>
      </w:pPr>
      <w:r>
        <w:t>Score SEM: 3,4 (media equipo: 5,8) — por debajo de la media</w:t>
      </w:r>
    </w:p>
    <w:p>
      <w:pPr>
        <w:pStyle w:val="ListBullet"/>
      </w:pPr>
      <w:r>
        <w:t>Service CAM Acum.: 6% (media equipo: 6%; bueno ≥8%) — en rango regular</w:t>
      </w:r>
    </w:p>
    <w:p>
      <w:pPr>
        <w:pStyle w:val="ListBullet"/>
      </w:pPr>
      <w:r>
        <w:t>Diferidos Acum.: 5% (media equipo: 12%; bueno ≥8%) — en rango regular</w:t>
      </w:r>
    </w:p>
    <w:p/>
    <w:p>
      <w:pPr>
        <w:pStyle w:val="Heading1"/>
      </w:pPr>
      <w:r>
        <w:t>Tareas pendientes</w:t>
      </w:r>
    </w:p>
    <w:tbl>
      <w:tblPr>
        <w:tblStyle w:val="TableGrid"/>
        <w:tblW w:w="0" w:type="auto"/>
      </w:tblPr>
      <w:tr>
        <w:tc>
          <w:tcPr/>
          <w:p>
            <w:r>
              <w:rPr>
                <w:b/>
              </w:rPr>
              <w:t xml:space="preserve">Tarea</w:t>
            </w:r>
          </w:p>
        </w:tc>
        <w:tc>
          <w:tcPr/>
          <w:p>
            <w:r>
              <w:rPr>
                <w:b/>
              </w:rPr>
              <w:t xml:space="preserve">Responsable</w:t>
            </w:r>
          </w:p>
        </w:tc>
        <w:tc>
          <w:tcPr/>
          <w:p>
            <w:r>
              <w:rPr>
                <w:b/>
              </w:rPr>
              <w:t xml:space="preserve">Fecha límite</w:t>
            </w:r>
          </w:p>
        </w:tc>
        <w:tc>
          <w:tcPr/>
          <w:p>
            <w:r>
              <w:rPr>
                <w:b/>
              </w:rPr>
              <w:t>Grado de cumplimentación</w:t>
            </w:r>
          </w:p>
        </w:tc>
      </w:tr>
      <w:tr>
        <w:tc>
          <w:tcPr/>
          <w:p>
            <w:r>
              <w:t xml:space="preserve">Utilizar el Laser de desgaste</w:t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  <w:tc>
          <w:tcPr/>
          <w:p>
            <w:r>
              <w:t/>
            </w:r>
          </w:p>
        </w:tc>
      </w:tr>
    </w:tbl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