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José María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Neumáticos: 113.19 pts (media equipo: 80.83 pts).</w:t>
      </w:r>
    </w:p>
    <w:p>
      <w:pPr>
        <w:pStyle w:val="ListBullet"/>
      </w:pPr>
      <w:r>
        <w:t>Desgaste — Pastillas de freno: 60.42 pts (media equipo: 50.06 pts).</w:t>
      </w:r>
    </w:p>
    <w:p>
      <w:pPr>
        <w:pStyle w:val="ListBullet"/>
      </w:pPr>
      <w:r>
        <w:t>Fidelidad de cliente: 66.07%,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14º con 225.00 pts, por debajo de la media del equipo (253.34 pts).</w:t>
      </w:r>
    </w:p>
    <w:p>
      <w:pPr>
        <w:pStyle w:val="ListBullet"/>
      </w:pPr>
      <w:r>
        <w:t>Desgaste — Amortiguadores: 11.11 pts, por debajo de la media (19.41 pts).</w:t>
      </w:r>
    </w:p>
    <w:p>
      <w:pPr>
        <w:pStyle w:val="ListBullet"/>
      </w:pPr>
      <w:r>
        <w:t>Desgaste — Baterías: 5.56 pts, por debajo de la media (10.92 pts).</w:t>
      </w:r>
    </w:p>
    <w:p>
      <w:pPr>
        <w:pStyle w:val="ListBullet"/>
      </w:pPr>
      <w:r>
        <w:t>Desgaste — Escobillas: 13.19 pts, por debajo de la media (55.78 pts).</w:t>
      </w:r>
    </w:p>
    <w:p>
      <w:pPr>
        <w:pStyle w:val="ListBullet"/>
      </w:pPr>
      <w:r>
        <w:t>Desgaste — Parabrisas: 4.86 pts, por debajo de la media (16.82 pts).</w:t>
      </w:r>
    </w:p>
    <w:p>
      <w:pPr>
        <w:pStyle w:val="ListBullet"/>
      </w:pPr>
      <w:r>
        <w:t>Full/Long Drive: 6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211 en la competición Horch Lauden. Resultado por mejorar: alejado de las posiciones de cabeza.</w:t>
      </w:r>
    </w:p>
    <w:p/>
    <w:p>
      <w:pPr>
        <w:pStyle w:val="Heading1"/>
      </w:pPr>
      <w:r>
        <w:t>Cuadro de Calidad CX 2026</w:t>
      </w:r>
    </w:p>
    <w:p>
      <w:r>
        <w:rPr>
          <w:b/>
        </w:rPr>
        <w:t>Moncloa Audi (31523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4,81 — 2/2 pts  |  Referencia: 0pts &lt;4,60 | 1pt ≥4,60 | 2pts ≥4,80</w:t>
      </w:r>
    </w:p>
    <w:p>
      <w:pPr>
        <w:pStyle w:val="ListBullet"/>
      </w:pPr>
      <w:r>
        <w:t>Conectividad Posventa: 45,45%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Información Proceso (TRS): 58,33% — 0/2 pts  |  Referencia: 0pts &lt;80% | 1pt ≥80% | 2pts ≥90%</w:t>
      </w:r>
    </w:p>
    <w:p/>
    <w:p>
      <w:r>
        <w:rPr>
          <w:b/>
        </w:rPr>
        <w:t>Moncloa VW (31523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(% Respuestas): 100,00% — 2/2 pts  |  Referencia: 0pts &lt;80% | 1pt ≥80% | 2pts 100%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5,08% — 0/2 pts  |  Referencia: 0pts &lt;25% | 1pt ≥25% | 2pts ≥40%</w:t>
      </w:r>
    </w:p>
    <w:p>
      <w:pPr>
        <w:pStyle w:val="ListBullet"/>
      </w:pPr>
      <w:r>
        <w:t>Club Volkswagen (% Adhesión): 5,00% — 1/2 pts  |  Referencia: 0pts &lt;3% | 1pt ≥3% | 2pts ≥6%</w:t>
      </w:r>
    </w:p>
    <w:p/>
    <w:p>
      <w:pPr>
        <w:pStyle w:val="Heading1"/>
      </w:pPr>
      <w:r>
        <w:t>ONE KVPS — Semana 13 (2026)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Score SEM: 6,2 (media equipo: 5,8) — por encima de la media</w:t>
      </w:r>
    </w:p>
    <w:p>
      <w:pPr>
        <w:pStyle w:val="ListBullet"/>
      </w:pPr>
      <w:r>
        <w:t>Multimedia Acum.: 6,8 (media equipo: 5,6;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5% (media equipo: 6%; bueno ≥8%) — en rango regular</w:t>
      </w:r>
    </w:p>
    <w:p>
      <w:pPr>
        <w:pStyle w:val="ListBullet"/>
      </w:pPr>
      <w:r>
        <w:t>Diferidos Acum.: 0% (media equipo: 12%; bueno ≥8%) — por debajo del umbral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