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Juan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— Amortiguadores: 31.03 pts (media equipo: 19.41 pts).</w:t>
      </w:r>
    </w:p>
    <w:p>
      <w:pPr>
        <w:pStyle w:val="ListBullet"/>
      </w:pPr>
      <w:r>
        <w:t>Desgaste — Discos: 28.16 pts (media equipo: 19.86 pts).</w:t>
      </w:r>
    </w:p>
    <w:p>
      <w:pPr>
        <w:pStyle w:val="ListBullet"/>
      </w:pPr>
      <w:r>
        <w:t>Desgaste — Escobillas: 79.31 pts (media equipo: 55.78 pts).</w:t>
      </w:r>
    </w:p>
    <w:p>
      <w:pPr>
        <w:pStyle w:val="ListBullet"/>
      </w:pPr>
      <w:r>
        <w:t>Full/Long Drive: 14 operaciones realizadas, muy por encima de la media del equipo (8).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Desgaste: posición 12º con 252.87 pts, por debajo de la media del equipo (253.34 pts).</w:t>
      </w:r>
    </w:p>
    <w:p>
      <w:pPr>
        <w:pStyle w:val="ListBullet"/>
      </w:pPr>
      <w:r>
        <w:t>Desgaste — Baterías: 7.47 pts, por debajo de la media (10.92 pts).</w:t>
      </w:r>
    </w:p>
    <w:p>
      <w:pPr>
        <w:pStyle w:val="ListBullet"/>
      </w:pPr>
      <w:r>
        <w:t>Desgaste — Parabrisas: 3.45 pts, por debajo de la media (16.82 pts).</w:t>
      </w:r>
    </w:p>
    <w:p>
      <w:pPr>
        <w:pStyle w:val="ListBullet"/>
      </w:pPr>
      <w:r>
        <w:t>Desgaste — Pastillas de freno: 37.93 pts, por debajo de la media (50.06 pts).</w:t>
      </w:r>
    </w:p>
    <w:p>
      <w:pPr>
        <w:pStyle w:val="ListBullet"/>
      </w:pPr>
      <w:r>
        <w:t>Fidelidad: sin dato disponible en este período.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— resultado suficiente. Margen de mejora para alcanzar el nivel siguiente (5).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Posición 49 en la competición Horch Lauden. Buen resultado dentro del grupo de cabeza.</w:t>
      </w:r>
    </w:p>
    <w:p/>
    <w:p>
      <w:pPr>
        <w:pStyle w:val="Heading1"/>
      </w:pPr>
      <w:r>
        <w:t>Cuadro de Calidad CX 2026</w:t>
      </w:r>
    </w:p>
    <w:p>
      <w:r>
        <w:rPr>
          <w:b/>
        </w:rPr>
        <w:t>Vara (0311Q VW) — Volkswagen Turismos</w:t>
      </w:r>
    </w:p>
    <w:p>
      <w:r>
        <w:rPr>
          <w:b/>
        </w:rP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Club Volkswagen (% Adhesión): 6,11%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Google Business Profile (% Respuestas): 95,83% — 1/2 pts  |  Referencia: 0pts &lt;80% | 1pt ≥80% | 2pts 100%</w:t>
      </w:r>
    </w:p>
    <w:p>
      <w:pPr>
        <w:pStyle w:val="ListBullet"/>
      </w:pPr>
      <w:r>
        <w:t>Medidas de Servicio (EC28): — — 1/2 pts  |  Referencia: 0pts &gt;5% | 1pt ≤5% | 2pts ≤3%</w:t>
      </w:r>
    </w:p>
    <w:p>
      <w:pPr>
        <w:pStyle w:val="ListBullet"/>
      </w:pPr>
      <w:r>
        <w:t>Conectividad (ASS Activado): 6,12% — 0/2 pts  |  Referencia: 0pts &lt;25% | 1pt ≥25% | 2pts ≥40%</w:t>
      </w:r>
    </w:p>
    <w:p/>
    <w:p>
      <w:pPr>
        <w:pStyle w:val="Heading1"/>
      </w:pPr>
      <w:r>
        <w:t>ONE KVPS — Semana 13 (2026)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Score SEM: 8,5 (media equipo: 5,8) — por encima de la media</w:t>
      </w:r>
    </w:p>
    <w:p>
      <w:pPr>
        <w:pStyle w:val="ListBullet"/>
      </w:pPr>
      <w:r>
        <w:t>Service CAM Acum.: 10% (media equipo: 6%; bueno ≥8%) — en rango positivo</w:t>
      </w:r>
    </w:p>
    <w:p>
      <w:pPr>
        <w:pStyle w:val="ListBullet"/>
      </w:pPr>
      <w:r>
        <w:t>Diferidos Acum.: 8% (media equipo: 12%; bueno ≥8%) — en rango positivo</w:t>
      </w:r>
    </w:p>
    <w:p>
      <w:pPr>
        <w:pStyle w:val="ListBullet"/>
      </w:pPr>
      <w:r>
        <w:t>Multimedia Acum.: 6,8 (media equipo: 5,6; bueno ≥5) — en rango positivo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