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Raúl Muñoz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15º con 209.35 pts, por debajo de la media del equipo (253.34 pts).</w:t>
      </w:r>
    </w:p>
    <w:p>
      <w:pPr>
        <w:pStyle w:val="ListBullet"/>
      </w:pPr>
      <w:r>
        <w:t>Desgaste — Amortiguadores: 14.39 pts, por debajo de la media (19.41 pts).</w:t>
      </w:r>
    </w:p>
    <w:p>
      <w:pPr>
        <w:pStyle w:val="ListBullet"/>
      </w:pPr>
      <w:r>
        <w:t>Desgaste — Discos: 14.39 pts, por debajo de la media (19.86 pts).</w:t>
      </w:r>
    </w:p>
    <w:p>
      <w:pPr>
        <w:pStyle w:val="ListBullet"/>
      </w:pPr>
      <w:r>
        <w:t>Desgaste — Parabrisas: 1.44 pts, por debajo de la media (16.82 pts).</w:t>
      </w:r>
    </w:p>
    <w:p>
      <w:pPr>
        <w:pStyle w:val="ListBullet"/>
      </w:pPr>
      <w:r>
        <w:t>Full/Long Drive: 4 operaciones, por debajo de la media del equipo (8).</w:t>
      </w:r>
    </w:p>
    <w:p>
      <w:pPr>
        <w:pStyle w:val="ListBullet"/>
      </w:pPr>
      <w:r>
        <w:t>Fidelidad de cliente: 57.84%, por debajo de la media del equipo (63.48%).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67 en la competición Horch Lauden. Resultado medio. Hay recorrido de mejora en la competición de marca.</w:t>
      </w:r>
    </w:p>
    <w:p/>
    <w:p>
      <w:pPr>
        <w:pStyle w:val="Heading1"/>
      </w:pPr>
      <w:r>
        <w:t>Cuadro de Calidad CX 2026</w:t>
      </w:r>
    </w:p>
    <w:p>
      <w:r>
        <w:rPr>
          <w:b/>
        </w:rPr>
        <w:t>Moncloa Audi (31523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4,81 — 2/2 pts  |  Referencia: 0pts &lt;4,60 | 1pt ≥4,60 | 2pts ≥4,80</w:t>
      </w:r>
    </w:p>
    <w:p>
      <w:pPr>
        <w:pStyle w:val="ListBullet"/>
      </w:pPr>
      <w:r>
        <w:t>Conectividad Posventa: 45,45%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≤1%</w:t>
      </w:r>
    </w:p>
    <w:p>
      <w:pPr>
        <w:pStyle w:val="ListBullet"/>
      </w:pPr>
      <w:r>
        <w:t>Información Proceso (TRS): 58,33% — 0/2 pts  |  Referencia: 0pts &lt;80% | 1pt ≥80% | 2pts ≥90%</w:t>
      </w:r>
    </w:p>
    <w:p/>
    <w:p>
      <w:r>
        <w:rPr>
          <w:b/>
        </w:rPr>
        <w:t>Moncloa VW (31523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(% Respuestas): 100,00% — 2/2 pts  |  Referencia: 0pts &lt;80% | 1pt ≥80% | 2pts 100%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5,08% — 0/2 pts  |  Referencia: 0pts &lt;25% | 1pt ≥25% | 2pts ≥40%</w:t>
      </w:r>
    </w:p>
    <w:p>
      <w:pPr>
        <w:pStyle w:val="ListBullet"/>
      </w:pPr>
      <w:r>
        <w:t>Club Volkswagen (% Adhesión): 5,00% — 1/2 pts  |  Referencia: 0pts &lt;3% | 1pt ≥3% | 2pts ≥6%</w:t>
      </w:r>
    </w:p>
    <w:p/>
    <w:p>
      <w:pPr>
        <w:pStyle w:val="Heading1"/>
      </w:pPr>
      <w:r>
        <w:t>ONE KVPS — Semana 13 (2026)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Score SEM: 6,3 (media equipo: 5,8) — por encima de la media</w:t>
      </w:r>
    </w:p>
    <w:p>
      <w:pPr>
        <w:pStyle w:val="ListBullet"/>
      </w:pPr>
      <w:r>
        <w:t>Multimedia Acum.: 5,1 (media equipo: 5,6;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2% (media equipo: 6%; bueno ≥8%) — por debajo del umbral regular</w:t>
      </w:r>
    </w:p>
    <w:p>
      <w:pPr>
        <w:pStyle w:val="ListBullet"/>
      </w:pPr>
      <w:r>
        <w:t>Diferidos Acum.: 7% (media equipo: 12%; bueno ≥8%)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