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Ayala — Marzo 2026</w:t>
      </w:r>
    </w:p>
    <w:p>
      <w:pPr>
        <w:jc w:val="center"/>
      </w:pPr>
      <w:r>
        <w:rPr>
          <w:color w:val="444444"/>
          <w:sz w:val="24"/>
        </w:rPr>
        <w:t>Alberto Martínez · Ayala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229.86% (posicion 5/7 del ranking): por encima del umbral de referencia (220%).</w:t>
      </w:r>
    </w:p>
    <w:p>
      <w:pPr>
        <w:pStyle w:val="ListBullet"/>
      </w:pPr>
      <w:r>
        <w:t>Detalle por categoria: Amortiguadores: 9.86% | Baterias: 7.67% | Discos: 10.96% | Escobillas: 81.92% | Neumaticos: 70.68% | Pastillas: 48.77%.</w:t>
      </w:r>
    </w:p>
    <w:p>
      <w:pPr>
        <w:pStyle w:val="ListBullet"/>
      </w:pPr>
      <w:r>
        <w:t>Variacion mano de obra respecto a hace 2 anos: +24.09%.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Variacion recambios respecto a hace 2 anos: -0.12%.</w:t>
      </w:r>
    </w:p>
    <w:p/>
    <w:p>
      <w:pPr>
        <w:pStyle w:val="Heading1"/>
      </w:pPr>
      <w:r>
        <w:t>Digital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7.00 (30 puntos Iron Man). Por encima de 6.</w:t>
      </w:r>
    </w:p>
    <w:p/>
    <w:p>
      <w:pPr>
        <w:pStyle w:val="Heading1"/>
      </w:pPr>
      <w:r>
        <w:t>Procesos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Productividad: 100.87% sobre objetivo 105% (-4.13pp). Objetivo no alcanzado.</w:t>
      </w:r>
    </w:p>
    <w:p/>
    <w:p>
      <w:pPr>
        <w:pStyle w:val="Heading1"/>
      </w:pPr>
      <w:r>
        <w:t>Recursos generales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ICC: posicion 6 en el ranking de marca. Posicion destacada (top 10).</w:t>
      </w:r>
    </w:p>
    <w:p>
      <w:pPr>
        <w:pStyle w:val="ListBullet"/>
      </w:pPr>
      <w:r>
        <w:t>Horch Lauden: posicion 21. Posicion aceptable.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