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Audi — Marzo 2026</w:t>
      </w:r>
    </w:p>
    <w:p>
      <w:pPr>
        <w:jc w:val="center"/>
      </w:pPr>
      <w:r>
        <w:rPr>
          <w:color w:val="444444"/>
          <w:sz w:val="24"/>
        </w:rPr>
        <w:t>Emilio · Rivas Audi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252.57% (posicion 2/7 del ranking): por encima del umbral de referencia (220%).</w:t>
      </w:r>
    </w:p>
    <w:p>
      <w:pPr>
        <w:pStyle w:val="ListBullet"/>
      </w:pPr>
      <w:r>
        <w:t>Detalle por categoria: Amortiguadores: 32.66% | Baterias: 11.19% | Discos: 25.50% | Escobillas: 50.78% | Neumaticos: 57.49% | Parabrisas: 15.66% | Pastillas: 59.28%.</w:t>
      </w:r>
    </w:p>
    <w:p>
      <w:pPr>
        <w:pStyle w:val="ListBullet"/>
      </w:pPr>
      <w:r>
        <w:t>Variacion recambios respecto a hace 2 anos: +31.37%.</w:t>
      </w:r>
    </w:p>
    <w:p>
      <w:pPr>
        <w:pStyle w:val="ListBullet"/>
      </w:pPr>
      <w:r>
        <w:t>Variacion mano de obra respecto a hace 2 anos: +41.38%.</w:t>
      </w:r>
    </w:p>
    <w:p/>
    <w:p>
      <w:pPr>
        <w:pStyle w:val="Heading1"/>
      </w:pPr>
      <w:r>
        <w:t>Digital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(10 puntos Iron Man). Por debajo de 5. Revisar encuestas de satisfaccion.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90.72% sobre objetivo 93% (-2.28pp). Objetivo no alcanzado.</w:t>
      </w:r>
    </w:p>
    <w:p/>
    <w:p>
      <w:pPr>
        <w:pStyle w:val="Heading1"/>
      </w:pPr>
      <w:r>
        <w:t>Recursos generales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ICC: posicion 3 en el ranking de marca. Posicion destacada (top 10).</w:t>
      </w:r>
    </w:p>
    <w:p>
      <w:pPr>
        <w:pStyle w:val="ListBullet"/>
      </w:pPr>
      <w:r>
        <w:t>Horch Lauden: posicion 26. Posicion aceptable.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