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Marzo 2026</w:t>
      </w:r>
    </w:p>
    <w:p>
      <w:pPr>
        <w:jc w:val="center"/>
      </w:pPr>
      <w:r>
        <w:rPr>
          <w:color w:val="444444"/>
          <w:sz w:val="24"/>
        </w:rPr>
        <w:t>Fernando · Rivas Volkswagen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Detalle por categoria: Amortiguadores: 11.86% | Baterias: 11.05% | Discos: 11.86% | Escobillas: 39.89% | Neumaticos: 60.92% | Parabrisas: 11.59% | Pastillas: 43.13%.</w:t>
      </w:r>
    </w:p>
    <w:p>
      <w:pPr>
        <w:pStyle w:val="ListBullet"/>
      </w:pPr>
      <w:r>
        <w:t>Variacion mano de obra respecto a hace 2 anos: +1.60%.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190.30% (posicion 7/7 del ranking): por debajo del umbral de referencia (220%). Instalacion de seguimiento prioritario.</w:t>
      </w:r>
    </w:p>
    <w:p>
      <w:pPr>
        <w:pStyle w:val="ListBullet"/>
      </w:pPr>
      <w:r>
        <w:t>Variacion recambios respecto a hace 2 anos: -5.14%.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minimo recomendado (5).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95.42% sobre objetivo 89% (+6.42pp). Objetivo cumplido.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14 en el ranking de marca. Posicion aceptable.</w:t>
      </w:r>
    </w:p>
    <w:p>
      <w:pPr>
        <w:pStyle w:val="ListBullet"/>
      </w:pPr>
      <w:r>
        <w:t>Horch Lauden: posicion 13. Posicion destacada.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