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Marzo 2026</w:t>
      </w:r>
    </w:p>
    <w:p>
      <w:pPr>
        <w:jc w:val="center"/>
      </w:pPr>
      <w:r>
        <w:rPr>
          <w:color w:val="444444"/>
          <w:sz w:val="24"/>
        </w:rPr>
        <w:t>Izquierdo · Canarias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237.47% (posicion 3/7 del ranking): por encima del umbral de referencia (220%).</w:t>
      </w:r>
    </w:p>
    <w:p>
      <w:pPr>
        <w:pStyle w:val="ListBullet"/>
      </w:pPr>
      <w:r>
        <w:t>Detalle por categoria: Amortiguadores: 14.18% | Baterias: 11.14% | Discos: 21.27% | Escobillas: 51.90% | Neumaticos: 75.95% | Parabrisas: 14.68% | Pastillas: 48.35%.</w:t>
      </w:r>
    </w:p>
    <w:p>
      <w:pPr>
        <w:pStyle w:val="ListBullet"/>
      </w:pPr>
      <w:r>
        <w:t>Variacion recambios respecto a hace 2 anos: +9.80%.</w:t>
      </w:r>
    </w:p>
    <w:p>
      <w:pPr>
        <w:pStyle w:val="ListBullet"/>
      </w:pPr>
      <w:r>
        <w:t>Variacion mano de obra respecto a hace 2 anos: +0.61%.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minimo recomendado (5).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94.29% sobre objetivo 93% (+1.29pp). Objetivo cumplido.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1 en el ranking de marca. Posicion destacada (top 10).</w:t>
      </w:r>
    </w:p>
    <w:p>
      <w:pPr>
        <w:pStyle w:val="ListBullet"/>
      </w:pPr>
      <w:r>
        <w:t>Horch Lauden: posicion 27.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