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Javier Díaz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4º con 286.46 pts (primera mitad del equipo).</w:t>
      </w:r>
    </w:p>
    <w:p>
      <w:pPr>
        <w:pStyle w:val="ListBullet"/>
      </w:pPr>
      <w:r>
        <w:t>Desgaste — Neumáticos: 118.75 pts (media equipo: 80.83 pts).</w:t>
      </w:r>
    </w:p>
    <w:p>
      <w:pPr>
        <w:pStyle w:val="ListBullet"/>
      </w:pPr>
      <w:r>
        <w:t>Full/Long Drive: 9 operaciones, por encima de la media del equipo (8).</w:t>
      </w:r>
    </w:p>
    <w:p>
      <w:pPr>
        <w:pStyle w:val="ListBullet"/>
      </w:pPr>
      <w:r>
        <w:t>Fidelidad de cliente: 66.98%, por encima de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Parabrisas: 12.50 pts, por debajo de la media (16.82 pts).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49 en la competición Horch Lauden. Buen resultado dentro del grupo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