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Moncloa Audi — Marzo 2026</w:t>
      </w:r>
    </w:p>
    <w:p>
      <w:pPr>
        <w:jc w:val="center"/>
      </w:pPr>
      <w:r>
        <w:rPr>
          <w:color w:val="444444"/>
          <w:sz w:val="24"/>
        </w:rPr>
        <w:t>José María Campos · Moncloa Audi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Detalle por categoria: Amortiguadores: 5.44% | Baterias: 4.08% | Discos: 13.61% | Escobillas: 16.33% | Neumaticos: 102.04% | Pastillas: 52.38%.</w:t>
      </w:r>
    </w:p>
    <w:p>
      <w:pPr>
        <w:pStyle w:val="ListBullet"/>
      </w:pPr>
      <w:r>
        <w:t>Variacion recambios respecto a hace 2 anos: +25.73%.</w:t>
      </w:r>
    </w:p>
    <w:p>
      <w:pPr>
        <w:pStyle w:val="ListBullet"/>
      </w:pPr>
      <w:r>
        <w:t>Variacion mano de obra respecto a hace 2 anos: +69.36%.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 total 193.88% (posicion 6/7 del ranking): por debajo del umbral de referencia (220%). Instalacion de seguimiento prioritario.</w:t>
      </w:r>
    </w:p>
    <w:p/>
    <w:p>
      <w:pPr>
        <w:pStyle w:val="Heading1"/>
      </w:pPr>
      <w:r>
        <w:t>Digital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(20 puntos Iron Man). Cumple el minimo recomendado (5).</w:t>
      </w:r>
    </w:p>
    <w:p/>
    <w:p>
      <w:pPr>
        <w:pStyle w:val="Heading1"/>
      </w:pPr>
      <w:r>
        <w:t>Procesos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Productividad: 92.69% sobre objetivo 93% (-0.31pp). Objetivo no alcanzado.</w:t>
      </w:r>
    </w:p>
    <w:p/>
    <w:p>
      <w:pPr>
        <w:pStyle w:val="Heading1"/>
      </w:pPr>
      <w:r>
        <w:t>Recursos generales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ICC: posicion 12 en el ranking de marca. Posicion aceptable.</w:t>
      </w:r>
    </w:p>
    <w:p>
      <w:pPr>
        <w:pStyle w:val="ListBullet"/>
      </w:pPr>
      <w:r>
        <w:t>Horch Lauden: posicion 36. Posicion aceptable.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