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Seguimiento — José María Vázquez</w:t>
      </w:r>
    </w:p>
    <w:p>
      <w:pPr>
        <w:jc w:val="center"/>
      </w:pPr>
      <w:r>
        <w:rPr>
          <w:color w:val="444444"/>
          <w:sz w:val="24"/>
        </w:rPr>
        <w:t>Asesor de Servicio · Acumulado hasta Marzo 2026</w:t>
      </w:r>
    </w:p>
    <w:p>
      <w:pPr>
        <w:jc w:val="center"/>
      </w:pPr>
      <w:r>
        <w:rPr>
          <w:color w:val="888888"/>
          <w:sz w:val="20"/>
        </w:rPr>
        <w:t>Fecha: 06/04/2026</w:t>
      </w:r>
    </w:p>
    <w:p/>
    <w:p>
      <w:pPr>
        <w:pStyle w:val="Heading1"/>
      </w:pPr>
      <w:r>
        <w:t>Proactividad comercial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Desgaste: posición 6º con 276.62 pts (primera mitad del equipo).</w:t>
      </w:r>
    </w:p>
    <w:p>
      <w:pPr>
        <w:pStyle w:val="ListBullet"/>
      </w:pPr>
      <w:r>
        <w:t>Desgaste — Amortiguadores: 25.97 pts (media equipo: 19.41 pts).</w:t>
      </w:r>
    </w:p>
    <w:p>
      <w:pPr>
        <w:pStyle w:val="ListBullet"/>
      </w:pPr>
      <w:r>
        <w:t>Desgaste — Discos: 24.68 pts (media equipo: 19.86 pts).</w:t>
      </w:r>
    </w:p>
    <w:p>
      <w:pPr>
        <w:pStyle w:val="ListBullet"/>
      </w:pPr>
      <w:r>
        <w:t>Desgaste — Escobillas: 65.58 pts (media equipo: 55.78 pts).</w:t>
      </w:r>
    </w:p>
    <w:p>
      <w:pPr>
        <w:pStyle w:val="ListBullet"/>
      </w:pPr>
      <w:r>
        <w:t>Desgaste — Neumáticos: 94.81 pts (media equipo: 80.83 pts).</w:t>
      </w:r>
    </w:p>
    <w:p>
      <w:pPr>
        <w:pStyle w:val="ListBullet"/>
      </w:pPr>
      <w:r>
        <w:t>Full/Long Drive: 12 operaciones, por encima de la media del equipo (8).</w:t>
      </w:r>
    </w:p>
    <w:p>
      <w:pPr>
        <w:pStyle w:val="ListBullet"/>
      </w:pPr>
      <w:r>
        <w:t>Fidelidad de cliente: 64.78%, en línea con la media del equipo (63.48%).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Desgaste — Parabrisas: 4.55 pts, por debajo de la media (16.82 pts).</w:t>
      </w:r>
    </w:p>
    <w:p/>
    <w:p>
      <w:pPr>
        <w:pStyle w:val="Heading1"/>
      </w:pPr>
      <w:r>
        <w:t>Digital</w:t>
      </w:r>
    </w:p>
    <w:p>
      <w:r>
        <w:rPr>
          <w:i/>
          <w:color w:val="999999"/>
        </w:rPr>
        <w:t>Sin datos registrados</w:t>
      </w:r>
    </w:p>
    <w:p/>
    <w:p>
      <w:pPr>
        <w:pStyle w:val="Heading1"/>
      </w:pPr>
      <w:r>
        <w:t>Calidad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CAL1SEM: 4.00 — resultado suficiente. Margen de mejora para alcanzar el nivel siguiente (5).</w:t>
      </w:r>
    </w:p>
    <w:p/>
    <w:p>
      <w:pPr>
        <w:pStyle w:val="Heading1"/>
      </w:pPr>
      <w:r>
        <w:t>Procesos</w:t>
      </w:r>
    </w:p>
    <w:p>
      <w:r>
        <w:rPr>
          <w:i/>
          <w:color w:val="999999"/>
        </w:rPr>
        <w:t>Sin datos registrados</w:t>
      </w:r>
    </w:p>
    <w:p/>
    <w:p>
      <w:pPr>
        <w:pStyle w:val="Heading1"/>
      </w:pPr>
      <w:r>
        <w:t>Recursos generales</w:t>
      </w:r>
    </w:p>
    <w:p>
      <w:r>
        <w:rPr>
          <w:i/>
          <w:color w:val="999999"/>
        </w:rPr>
        <w:t>Sin datos registrados</w:t>
      </w:r>
    </w:p>
    <w:p/>
    <w:p>
      <w:pPr>
        <w:pStyle w:val="Heading1"/>
      </w:pPr>
      <w:r>
        <w:t>Horch Lauden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Posición 49 en la competición Horch Lauden. Buen resultado dentro del grupo de cabeza.</w:t>
      </w:r>
    </w:p>
    <w:p/>
    <w:p>
      <w:pPr>
        <w:pStyle w:val="Heading1"/>
      </w:pPr>
      <w:r>
        <w:t>Tareas pendientes</w:t>
      </w:r>
    </w:p>
    <w:tbl>
      <w:tblPr>
        <w:tblStyle w:val="TableGrid"/>
        <w:tblW w:w="0" w:type="auto"/>
      </w:tblPr>
      <w:tr>
        <w:tc>
          <w:tcPr/>
          <w:p>
            <w:r>
              <w:rPr>
                <w:b/>
              </w:rPr>
              <w:t xml:space="preserve">Tarea</w:t>
            </w:r>
          </w:p>
        </w:tc>
        <w:tc>
          <w:tcPr/>
          <w:p>
            <w:r>
              <w:rPr>
                <w:b/>
              </w:rPr>
              <w:t xml:space="preserve">Responsable</w:t>
            </w:r>
          </w:p>
        </w:tc>
        <w:tc>
          <w:tcPr/>
          <w:p>
            <w:r>
              <w:rPr>
                <w:b/>
              </w:rPr>
              <w:t xml:space="preserve">Fecha límite</w:t>
            </w:r>
          </w:p>
        </w:tc>
      </w:tr>
      <w:tr>
        <w:tc>
          <w:tcPr/>
          <w:p>
            <w:r>
              <w:t xml:space="preserve">Utilizar el Laser de desgaste</w:t>
            </w:r>
          </w:p>
        </w:tc>
        <w:tc>
          <w:tcPr/>
          <w:p>
            <w:r>
              <w:t/>
            </w:r>
          </w:p>
        </w:tc>
        <w:tc>
          <w:tcPr/>
          <w:p>
            <w:r>
              <w:t/>
            </w:r>
          </w:p>
        </w:tc>
      </w:tr>
    </w:tbl>
    <w:p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