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Chapa — Marzo 2026</w:t>
      </w:r>
    </w:p>
    <w:p>
      <w:pPr>
        <w:jc w:val="center"/>
      </w:pPr>
      <w:r>
        <w:rPr>
          <w:color w:val="444444"/>
          <w:sz w:val="24"/>
        </w:rPr>
        <w:t>Luis Ramos · Rivas Audi Chapa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Variacion recambios respecto a hace 2 anos: +36.39%.</w:t>
      </w:r>
    </w:p>
    <w:p>
      <w:pPr>
        <w:pStyle w:val="ListBullet"/>
      </w:pPr>
      <w:r>
        <w:t>Variacion mano de obra respecto a hace 2 anos: +34.40%.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satisfaccion.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115.49% sobre objetivo 120% (-4.51pp).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15 en el ranking de marca. Posicion aceptable.</w:t>
      </w:r>
    </w:p>
    <w:p>
      <w:pPr>
        <w:pStyle w:val="ListBullet"/>
      </w:pPr>
      <w:r>
        <w:t>Horch Lauden: posicion 26.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