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Chapa — Marzo 2026</w:t>
      </w:r>
    </w:p>
    <w:p>
      <w:pPr>
        <w:jc w:val="center"/>
      </w:pPr>
      <w:r>
        <w:rPr>
          <w:color w:val="444444"/>
          <w:sz w:val="24"/>
        </w:rPr>
        <w:t>Luis Ramos · Rivas VW Chapa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Variacion mano de obra respecto a hace 2 anos: +8.96%.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Variacion recambios respecto a hace 2 anos: -3.48%.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minimo recomendado (5).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115.49% sobre objetivo 120% (-4.51pp).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23 en el ranking de marca. Posicion aceptable.</w:t>
      </w:r>
    </w:p>
    <w:p>
      <w:pPr>
        <w:pStyle w:val="ListBullet"/>
      </w:pPr>
      <w:r>
        <w:t>Horch Lauden: posicion 13. Posicion destacada.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