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Canarias Chapa — Marzo 2026</w:t>
      </w:r>
    </w:p>
    <w:p>
      <w:pPr>
        <w:jc w:val="center"/>
      </w:pPr>
      <w:r>
        <w:rPr>
          <w:color w:val="444444"/>
          <w:sz w:val="24"/>
        </w:rPr>
        <w:t>Pericles · Canarias Chapa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Variacion recambios respecto a hace 2 anos: -15.34%.</w:t>
      </w:r>
    </w:p>
    <w:p>
      <w:pPr>
        <w:pStyle w:val="ListBullet"/>
      </w:pPr>
      <w:r>
        <w:t>Variacion mano de obra respecto a hace 2 anos: -14.65%.</w:t>
      </w:r>
    </w:p>
    <w:p/>
    <w:p>
      <w:pPr>
        <w:pStyle w:val="Heading1"/>
      </w:pPr>
      <w:r>
        <w:t>Digital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minimo recomendado (5).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119.83% sobre objetivo 120% (-0.17pp). Objetivo no alcanzado.</w:t>
      </w:r>
    </w:p>
    <w:p/>
    <w:p>
      <w:pPr>
        <w:pStyle w:val="Heading1"/>
      </w:pPr>
      <w:r>
        <w:t>Recursos generales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ICC: posicion 16 en el ranking de marca. Posicion aceptable.</w:t>
      </w:r>
    </w:p>
    <w:p>
      <w:pPr>
        <w:pStyle w:val="ListBullet"/>
      </w:pPr>
      <w:r>
        <w:t>Horch Lauden: posicion 27. Posicion aceptable.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