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Álvaro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— Amortiguadores: 32.62 pts (media equipo: 19.41 pts).</w:t>
      </w:r>
    </w:p>
    <w:p>
      <w:pPr>
        <w:pStyle w:val="ListBullet"/>
      </w:pPr>
      <w:r>
        <w:t>Desgaste — Discos: 25.67 pts (media equipo: 19.86 pts).</w:t>
      </w:r>
    </w:p>
    <w:p>
      <w:pPr>
        <w:pStyle w:val="ListBullet"/>
      </w:pPr>
      <w:r>
        <w:t>Desgaste — Pastillas de freno: 64.17 pts (media equipo: 50.06 pts).</w:t>
      </w:r>
    </w:p>
    <w:p>
      <w:pPr>
        <w:pStyle w:val="ListBullet"/>
      </w:pPr>
      <w:r>
        <w:t>Full/Long Drive: 45 operaciones realizadas, muy por encima de la media del equipo (8).</w:t>
      </w:r>
    </w:p>
    <w:p>
      <w:pPr>
        <w:pStyle w:val="ListBullet"/>
      </w:pPr>
      <w:r>
        <w:t>Fidelidad de cliente: 61.65%, en línea con la media del equipo (63.48%).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Desgaste: posición 11º con 252.94 pts, por debajo de la media del equipo (253.34 pts).</w:t>
      </w:r>
    </w:p>
    <w:p>
      <w:pPr>
        <w:pStyle w:val="ListBullet"/>
      </w:pPr>
      <w:r>
        <w:t>Desgaste — Neumáticos: 63.10 pts, por debajo de la media (80.83 pts).</w:t>
      </w:r>
    </w:p>
    <w:p>
      <w:pPr>
        <w:pStyle w:val="ListBullet"/>
      </w:pPr>
      <w:r>
        <w:t>Desgaste — Parabrisas: 9.63 pts, por debajo de la media (16.82 pts).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CAL1SEM: 4.00 — resultado suficiente. Margen de mejora para alcanzar el nivel siguiente (5).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Posición 23 en la competición Horch Lauden. Buen resultado dentro del grupo de cabeza.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  <w:tc>
          <w:tcPr/>
          <w:p>
            <w:r>
              <w:rPr>
                <w:b/>
              </w:rPr>
              <w:t>Grado de cumplimentación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