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Seguimiento Rivas VW — Marzo 2026</w:t>
      </w:r>
    </w:p>
    <w:p>
      <w:pPr>
        <w:jc w:val="center"/>
      </w:pPr>
      <w:r>
        <w:rPr>
          <w:color w:val="444444"/>
          <w:sz w:val="24"/>
        </w:rPr>
        <w:t>Fernando · Rivas Volkswagen</w:t>
      </w:r>
    </w:p>
    <w:p>
      <w:pPr>
        <w:jc w:val="center"/>
      </w:pPr>
      <w:r>
        <w:rPr>
          <w:color w:val="888888"/>
          <w:sz w:val="20"/>
        </w:rPr>
        <w:t>Fecha: 06/04/2026</w:t>
      </w:r>
    </w:p>
    <w:p/>
    <w:p>
      <w:pPr>
        <w:pStyle w:val="Heading1"/>
      </w:pPr>
      <w:r>
        <w:t>Proactividad comercial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ICC Modulo Proactividad Comercial — Posicion 28 de 166 | Puntuacion del modulo: 4,86</w:t>
      </w:r>
    </w:p>
    <w:p>
      <w:pPr>
        <w:pStyle w:val="ListBullet"/>
      </w:pPr>
      <w:r>
        <w:t>Detalle por categoria: Amortiguadores: 11.86% | Baterias: 11.05% | Discos: 11.86% | Escobillas: 39.89% | Neumaticos: 60.92% | Parabrisas: 11.59% | Pastillas: 43.13%.</w:t>
      </w:r>
    </w:p>
    <w:p>
      <w:pPr>
        <w:pStyle w:val="ListBullet"/>
      </w:pPr>
      <w:r>
        <w:t>Variacion mano de obra respecto a hace 2 anos: +1.60%.</w:t>
      </w:r>
    </w:p>
    <w:p>
      <w:pPr>
        <w:pStyle w:val="ListBullet"/>
      </w:pPr>
      <w:r>
        <w:t>ICC - At. Comerciales: 7,4% (media 4%, Top20 49%). Supera la media nacional.</w:t>
      </w:r>
    </w:p>
    <w:p>
      <w:pPr>
        <w:pStyle w:val="ListBullet"/>
      </w:pPr>
      <w:r>
        <w:t>ICC - Sust. Parabrisas: 2,0% (media 1,4%, Top20 3,7%). Buen nivel de aprovechamiento.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Desgaste total 190.30% (posicion 7/7 del ranking): por debajo del umbral de referencia (220%). Instalacion de seguimiento prioritario.</w:t>
      </w:r>
    </w:p>
    <w:p>
      <w:pPr>
        <w:pStyle w:val="ListBullet"/>
      </w:pPr>
      <w:r>
        <w:t>Variacion recambios respecto a hace 2 anos: -5.14%.</w:t>
      </w:r>
    </w:p>
    <w:p>
      <w:pPr>
        <w:pStyle w:val="ListBullet"/>
      </w:pPr>
      <w:r>
        <w:t>ICC - RGPD: 84,1% (media 74%, Top20 93%). Puntuacion 0,00 por no alcanzar el umbral del 85%.</w:t>
      </w:r>
    </w:p>
    <w:p>
      <w:pPr>
        <w:pStyle w:val="ListBullet"/>
      </w:pPr>
      <w:r>
        <w:t>ICC - Ext. Garantia: 11,4% (media 49%, Top20 80%). Muy por debajo de la media nacional.</w:t>
      </w:r>
    </w:p>
    <w:p>
      <w:pPr>
        <w:pStyle w:val="ListBullet"/>
      </w:pPr>
      <w:r>
        <w:t>ICC - Sust. Neumaticos: 18,5% (media 22,4%, Top20 40,7%). Por debajo de la media nacional.</w:t>
      </w:r>
    </w:p>
    <w:p>
      <w:pPr>
        <w:pStyle w:val="ListBullet"/>
      </w:pPr>
      <w:r>
        <w:t>ICC - Radar (Desgaste): 81,0% (media 99%, Top20 164%). Rendimiento comercial insuficiente.</w:t>
      </w:r>
    </w:p>
    <w:p/>
    <w:p>
      <w:pPr>
        <w:pStyle w:val="Heading1"/>
      </w:pPr>
      <w:r>
        <w:t>Digital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ICC Modulo Digital — Posicion 46 de 166 | Puntuacion del modulo: 5,99</w:t>
      </w:r>
    </w:p>
    <w:p>
      <w:pPr>
        <w:pStyle w:val="ListBullet"/>
      </w:pPr>
      <w:r>
        <w:t>ICC - Gestion de Leads: 100,0% (media 83%, Top20 100%). Maxima eficiencia. Perfecto.</w:t>
      </w:r>
    </w:p>
    <w:p>
      <w:pPr>
        <w:pStyle w:val="ListBullet"/>
      </w:pPr>
      <w:r>
        <w:t>ICC - Recovery Conectividad: 9,1% (media 7,72%, Top20 21,47%). Supera la media nacional.</w:t>
      </w:r>
    </w:p>
    <w:p>
      <w:pPr>
        <w:pStyle w:val="ListBullet"/>
      </w:pPr>
      <w:r>
        <w:t>ICC - Cita Online: 1,4% (media 1,3%, Top20 6,1%). En linea con la media.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ICC - ONE Score: 6,4 (media 6,6, Top20 8,8). Calidad del dato ligeramente inferior a la media.</w:t>
      </w:r>
    </w:p>
    <w:p/>
    <w:p>
      <w:pPr>
        <w:pStyle w:val="Heading1"/>
      </w:pPr>
      <w:r>
        <w:t>Calidad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ICC Modulo Calidad — Posicion 40 de 166 | Puntuacion del modulo: 7,09</w:t>
      </w:r>
    </w:p>
    <w:p>
      <w:pPr>
        <w:pStyle w:val="ListBullet"/>
      </w:pPr>
      <w:r>
        <w:t>CAL1SEM: 5.00 (20 puntos Iron Man). Cumple el minimo recomendado (5).</w:t>
      </w:r>
    </w:p>
    <w:p>
      <w:pPr>
        <w:pStyle w:val="ListBullet"/>
      </w:pPr>
      <w:r>
        <w:t>ICC - Escalaciones At. C.: 0,0% (media 2,4%, Top20 0%). Gestion impecable de reclamaciones.</w:t>
      </w:r>
    </w:p>
    <w:p>
      <w:pPr>
        <w:pStyle w:val="ListBullet"/>
      </w:pPr>
      <w:r>
        <w:t>ICC - ICT (Incidencias): 0,2% (media 0,5%, Top20 0%). Ratio de quejas muy bajo.</w:t>
      </w:r>
    </w:p>
    <w:p>
      <w:pPr>
        <w:pStyle w:val="ListBullet"/>
      </w:pPr>
      <w:r>
        <w:t>ICC - Google BP: 100,0% (media 97,8%, Top20 100%). Gestion de resenas inmejorable. Perfecto.</w:t>
      </w:r>
    </w:p>
    <w:p>
      <w:pPr>
        <w:pStyle w:val="ListBullet"/>
      </w:pPr>
      <w:r>
        <w:t>ICC - Recogida y Entrega: 7,2% (media 5,3%, Top20 15%). Supera la media de la red.</w:t>
      </w:r>
    </w:p>
    <w:p>
      <w:pPr>
        <w:pStyle w:val="ListBullet"/>
      </w:pPr>
      <w:r>
        <w:t>ICC - Satisfaccion General (NPS): 72,0% (media 65,4%, Top20 96,2%). Buena percepcion general.</w:t>
      </w:r>
    </w:p>
    <w:p/>
    <w:p>
      <w:pPr>
        <w:pStyle w:val="Heading1"/>
      </w:pPr>
      <w:r>
        <w:t>Procesos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Productividad: 95.42% sobre objetivo 89% (+6.42pp). Objetivo cumplido.</w:t>
      </w:r>
    </w:p>
    <w:p/>
    <w:p>
      <w:pPr>
        <w:pStyle w:val="Heading1"/>
      </w:pPr>
      <w:r>
        <w:t>Recursos generales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ICC Modulo Recursos Generales — Posicion 68 de 166 | Puntuacion del modulo: 5,52</w:t>
      </w:r>
    </w:p>
    <w:p>
      <w:pPr>
        <w:pStyle w:val="ListBullet"/>
      </w:pPr>
      <w:r>
        <w:t>ICC - Ocupacion (PLATON): 96,3% (media 88,3%, Top20 101,2%). Alta carga de trabajo en taller.</w:t>
      </w:r>
    </w:p>
    <w:p>
      <w:pPr>
        <w:pStyle w:val="ListBullet"/>
      </w:pPr>
      <w:r>
        <w:t>ICC - Ciclo Mecanica: 1,46 dias (media 2,07, Top20 1,86). Alta eficiencia operativa.</w:t>
      </w:r>
    </w:p>
    <w:p>
      <w:pPr>
        <w:pStyle w:val="ListBullet"/>
      </w:pPr>
      <w:r>
        <w:t>ICC - T. Cita Mecanica: 12,2 dias (media 15,02, Top20 12,83). Rapidez superior al Top 20.</w:t>
      </w:r>
    </w:p>
    <w:p>
      <w:pPr>
        <w:pStyle w:val="ListBullet"/>
      </w:pPr>
      <w:r>
        <w:t>ICC - Mantenim. &lt;24h: 49,7% (media 48,11%, Top20 73%). En linea con la media nacional.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ICC - Ciclo Carroceria: 7,69 dias (media 7,77, Top20 4,5). Proceso de chapa lento. Puntuacion 0,00. Critico.</w:t>
      </w:r>
    </w:p>
    <w:p/>
    <w:p>
      <w:pPr>
        <w:pStyle w:val="Heading1"/>
      </w:pPr>
      <w:r>
        <w:t>Carroceria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ICC Modulo Carroceria — Posicion 23 de 348 | Puntuacion del modulo: 8,40</w:t>
      </w:r>
    </w:p>
    <w:p>
      <w:pPr>
        <w:pStyle w:val="ListBullet"/>
      </w:pPr>
      <w:r>
        <w:t>ICC - Retencion Parque: 33,0% (media 0,2%, Top20 19,86%). Fortaleza masiva en retencion.</w:t>
      </w:r>
    </w:p>
    <w:p>
      <w:pPr>
        <w:pStyle w:val="ListBullet"/>
      </w:pPr>
      <w:r>
        <w:t>ICC - Facturacion Carroceria: 89,2% (media 50,2%, Top20 418%). Crecimiento muy superior a la media.</w:t>
      </w:r>
    </w:p>
    <w:p>
      <w:pPr>
        <w:pStyle w:val="ListBullet"/>
      </w:pPr>
      <w:r>
        <w:t>ICC - Fidelidad Mecanica: -0,4% (media -4,7%, Top20 9,7%). Resultado superior a la media nacional.</w:t>
      </w:r>
    </w:p>
    <w:p>
      <w:pPr>
        <w:pStyle w:val="ListBullet"/>
      </w:pPr>
      <w:r>
        <w:t>ICC - CEM Carroceria: 5,00 (media 4,45, Top20 4,68). Maxima satisfaccion del cliente. Perfecto.</w:t>
      </w:r>
    </w:p>
    <w:p>
      <w:pPr>
        <w:pStyle w:val="ListBullet"/>
      </w:pPr>
      <w:r>
        <w:t>ICC - Recup. Siniestros: 100,0% (media 98,1%, Top20 100%). Gestion impecable del programa.</w:t>
      </w:r>
    </w:p>
    <w:p/>
    <w:p>
      <w:pPr>
        <w:pStyle w:val="Heading1"/>
      </w:pPr>
      <w:r>
        <w:t>Personas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ICC Modulo Personas — Posicion 35 de 166 | Puntuacion del modulo: 9,09</w:t>
      </w:r>
    </w:p>
    <w:p>
      <w:pPr>
        <w:pStyle w:val="ListBullet"/>
      </w:pPr>
      <w:r>
        <w:t>ICC - Formacion (% No Asistencia): 0,0% (media 8,83%, Top20 0,0%). Asistencia total a formaciones. Perfecto.</w:t>
      </w:r>
    </w:p>
    <w:p>
      <w:pPr>
        <w:pStyle w:val="ListBullet"/>
      </w:pPr>
      <w:r>
        <w:t>ICC - Retencion Personal: 96,6% (media 88,8%, Top20 100%). Muy alta estabilidad de plantilla.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ICC - Formacion (% Certificados): 98,2% (media 99,15%, Top20 100%). Ligeramente por debajo de la media.</w:t>
      </w:r>
    </w:p>
    <w:p/>
    <w:p>
      <w:pPr>
        <w:pStyle w:val="Heading1"/>
      </w:pPr>
      <w:r>
        <w:t>Rankings de marca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ICC global: posicion 14 de 166 | Puntuacion: 6,16</w:t>
      </w:r>
    </w:p>
    <w:p>
      <w:pPr>
        <w:pStyle w:val="ListBullet"/>
      </w:pPr>
      <w:r>
        <w:t>Iron Man ICC: posicion 14 en el ranking de marca. Posicion aceptable.</w:t>
      </w:r>
    </w:p>
    <w:p>
      <w:pPr>
        <w:pStyle w:val="ListBullet"/>
      </w:pPr>
      <w:r>
        <w:t>Horch Lauden: posicion 13. Posicion destacada.</w:t>
      </w:r>
    </w:p>
    <w:p/>
    <w:p>
      <w:pPr>
        <w:pStyle w:val="Heading1"/>
      </w:pPr>
      <w:r>
        <w:t>Tareas pendientes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</w:rPr>
              <w:t>Tarea</w:t>
            </w:r>
          </w:p>
        </w:tc>
        <w:tc>
          <w:tcPr>
            <w:tcW w:type="dxa" w:w="3010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301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3010"/>
          </w:tcPr>
          <w:p>
            <w:r>
              <w:rPr>
                <w:b/>
              </w:rPr>
              <w:t>Grado de cumplimentación</w:t>
            </w:r>
          </w:p>
        </w:tc>
      </w:tr>
      <w:tr>
        <w:tc>
          <w:tcPr>
            <w:tcW w:type="dxa" w:w="3010"/>
          </w:tcPr>
          <w:p>
            <w:r>
              <w:t>Utilizar el Laser de desgaste</w:t>
            </w:r>
          </w:p>
        </w:tc>
        <w:tc>
          <w:tcPr>
            <w:tcW w:type="dxa" w:w="3010"/>
          </w:tcPr>
          <w:p>
            <w:r/>
          </w:p>
        </w:tc>
        <w:tc>
          <w:tcPr>
            <w:tcW w:type="dxa" w:w="3010"/>
          </w:tcPr>
          <w:p>
            <w:r/>
          </w:p>
        </w:tc>
        <w:tc>
          <w:tcPr>
            <w:tcW w:type="dxa" w:w="3010"/>
          </w:tcPr>
          <w:p>
            <w:r>
              <w:t/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