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Canarias — Marzo 2026</w:t>
      </w:r>
    </w:p>
    <w:p>
      <w:pPr>
        <w:jc w:val="center"/>
      </w:pPr>
      <w:r>
        <w:rPr>
          <w:color w:val="444444"/>
          <w:sz w:val="24"/>
        </w:rPr>
        <w:t>Izquierdo · Canarias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Proactividad Comercial — Posicion 1 de 143 | Puntuacion del modulo: 8,15</w:t>
      </w:r>
    </w:p>
    <w:p>
      <w:pPr>
        <w:pStyle w:val="ListBullet"/>
      </w:pPr>
      <w:r>
        <w:t>Desgaste total 237.47% (posicion 3/7 del ranking): por encima del umbral de referencia (220%).</w:t>
      </w:r>
    </w:p>
    <w:p>
      <w:pPr>
        <w:pStyle w:val="ListBullet"/>
      </w:pPr>
      <w:r>
        <w:t>Detalle por categoria: Amortiguadores: 14.18% | Baterias: 11.14% | Discos: 21.27% | Escobillas: 51.90% | Neumaticos: 75.95% | Parabrisas: 14.68% | Pastillas: 48.35%.</w:t>
      </w:r>
    </w:p>
    <w:p>
      <w:pPr>
        <w:pStyle w:val="ListBullet"/>
      </w:pPr>
      <w:r>
        <w:t>Variacion recambios respecto a hace 2 anos: +9.80%.</w:t>
      </w:r>
    </w:p>
    <w:p>
      <w:pPr>
        <w:pStyle w:val="ListBullet"/>
      </w:pPr>
      <w:r>
        <w:t>Variacion mano de obra respecto a hace 2 anos: +0.61%.</w:t>
      </w:r>
    </w:p>
    <w:p>
      <w:pPr>
        <w:pStyle w:val="ListBullet"/>
      </w:pPr>
      <w:r>
        <w:t>ICC - RGPD: 86,4% (media 72,4%, Top20 90,3%). Excelente, supera el umbral de puntos.</w:t>
      </w:r>
    </w:p>
    <w:p>
      <w:pPr>
        <w:pStyle w:val="ListBullet"/>
      </w:pPr>
      <w:r>
        <w:t>ICC - Ext. Garantia: 84,8% (media 65,5%, Top20 91,8%). Fortaleza, muy por encima de la media.</w:t>
      </w:r>
    </w:p>
    <w:p>
      <w:pPr>
        <w:pStyle w:val="ListBullet"/>
      </w:pPr>
      <w:r>
        <w:t>ICC - Sust. Neumaticos: 35,2% (media 24,1%, Top20 46,0%). Desempeno solido superior a la media.</w:t>
      </w:r>
    </w:p>
    <w:p>
      <w:pPr>
        <w:pStyle w:val="ListBullet"/>
      </w:pPr>
      <w:r>
        <w:t>ICC - Radar (Desgaste): 119,7% (media 98,3%, Top20 162,8%). Supera el objetivo teorico del 100%.</w:t>
      </w:r>
    </w:p>
    <w:p>
      <w:pPr>
        <w:pStyle w:val="ListBullet"/>
      </w:pPr>
      <w:r>
        <w:t>ICC - Sust. Parabrisas: 5,1% (media 1,5%, Top20 5,3%). Nivel de aprovechamiento Top 20.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At. Comerciales: 4,28% (media 6,3%, Top20 20,96%). Por debajo de la media nacional.</w:t>
      </w:r>
    </w:p>
    <w:p>
      <w:pPr>
        <w:pStyle w:val="ListBullet"/>
      </w:pPr>
      <w:r>
        <w:t>ICC - Campanas Averias: 0% (media 10%, Top20 10%). Oportunidad de negocio no aprovechada. Critico.</w:t>
      </w:r>
    </w:p>
    <w:p/>
    <w:p>
      <w:pPr>
        <w:pStyle w:val="Heading1"/>
      </w:pPr>
      <w:r>
        <w:t>Digital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Digital — Posicion 4 de 143 | Puntuacion del modulo: 7,02</w:t>
      </w:r>
    </w:p>
    <w:p>
      <w:pPr>
        <w:pStyle w:val="ListBullet"/>
      </w:pPr>
      <w:r>
        <w:t>ICC - Audi CAM: 11,39% (media 5,2%, Top20 18,4%). Duplica la media nacional.</w:t>
      </w:r>
    </w:p>
    <w:p>
      <w:pPr>
        <w:pStyle w:val="ListBullet"/>
      </w:pPr>
      <w:r>
        <w:t>ICC - Recovery Conectividad: 28,13% (media 18,1%, Top20 47,69%). Por encima de la media.</w:t>
      </w:r>
    </w:p>
    <w:p>
      <w:pPr>
        <w:pStyle w:val="ListBullet"/>
      </w:pPr>
      <w:r>
        <w:t>ICC - ONE Score: 6,9 (media 6,6, Top20 8,6). Supera ligeramente la media.</w:t>
      </w:r>
    </w:p>
    <w:p>
      <w:pPr>
        <w:pStyle w:val="ListBullet"/>
      </w:pPr>
      <w:r>
        <w:t>ICC - Gestion de Leads: 43,7% (media 37,1%, Top20 65,7%). Eficiencia superior a la media.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Cita Online: 0,0% (media 18,1%, Top20 47,6%). Canal digital inactivo. Critico.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Calidad (Experience+) — Posicion 14 de 142 | Puntuacion del modulo: 7,23</w:t>
      </w:r>
    </w:p>
    <w:p>
      <w:pPr>
        <w:pStyle w:val="ListBullet"/>
      </w:pPr>
      <w:r>
        <w:t>CAL1SEM: 5.00 (20 puntos Iron Man). Cumple el minimo recomendado (5).</w:t>
      </w:r>
    </w:p>
    <w:p>
      <w:pPr>
        <w:pStyle w:val="ListBullet"/>
      </w:pPr>
      <w:r>
        <w:t>ICC - CEM Satisfaccion General: 4,8 (media 4,69, Top20 5,0). Muy alta satisfaccion del cliente.</w:t>
      </w:r>
    </w:p>
    <w:p>
      <w:pPr>
        <w:pStyle w:val="ListBullet"/>
      </w:pPr>
      <w:r>
        <w:t>ICC - Audi Move: 101,6% (media 56,2%, Top20 92,5%). Supera el nivel del Top 20.</w:t>
      </w:r>
    </w:p>
    <w:p>
      <w:pPr>
        <w:pStyle w:val="ListBullet"/>
      </w:pPr>
      <w:r>
        <w:t>ICC - ICT (Incidencias): 0,1% (media 0,6%, Top20 0%). Nivel de quejas casi nulo.</w:t>
      </w:r>
    </w:p>
    <w:p>
      <w:pPr>
        <w:pStyle w:val="ListBullet"/>
      </w:pPr>
      <w:r>
        <w:t>ICC - Contacto Proceso AU: 82,4% (media 74,1%, Top20 96,3%). Comunicacion solida con el cliente.</w:t>
      </w:r>
    </w:p>
    <w:p/>
    <w:p>
      <w:pPr>
        <w:pStyle w:val="Heading1"/>
      </w:pPr>
      <w:r>
        <w:t>Procesos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Productividad: 94.29% sobre objetivo 93% (+1.29pp). Objetivo cumplido.</w:t>
      </w:r>
    </w:p>
    <w:p/>
    <w:p>
      <w:pPr>
        <w:pStyle w:val="Heading1"/>
      </w:pPr>
      <w:r>
        <w:t>Recursos generales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Recursos Generales — Posicion 68 de 143 | Puntuacion del modulo: 5,33</w:t>
      </w:r>
    </w:p>
    <w:p>
      <w:pPr>
        <w:pStyle w:val="ListBullet"/>
      </w:pPr>
      <w:r>
        <w:t>ICC - Ocupacion (PLATON): 96,9% (media 88,5%, Top20 98,0%). Taller a plena carga operativa.</w:t>
      </w:r>
    </w:p>
    <w:p>
      <w:pPr>
        <w:pStyle w:val="ListBullet"/>
      </w:pPr>
      <w:r>
        <w:t>ICC - Pedido Talentia: 300% (media 90,9%, Top20 230,8%). Gestion proactiva de pedidos.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Mantenim. &lt;24h: 13,9% (media 44,9%, Top20 70,0%). Rapidez muy inferior a la media. Critico.</w:t>
      </w:r>
    </w:p>
    <w:p>
      <w:pPr>
        <w:pStyle w:val="ListBullet"/>
      </w:pPr>
      <w:r>
        <w:t>ICC - T. Ciclo Carroceria: 9,9 dias (media 6,6, Top20 5,7). Reparaciones de chapa lentas. Critico.</w:t>
      </w:r>
    </w:p>
    <w:p>
      <w:pPr>
        <w:pStyle w:val="ListBullet"/>
      </w:pPr>
      <w:r>
        <w:t>ICC - T. Cita Carroceria: 19,6 dias (media 18,6, Top20 12,3). Espera excesiva para cita de chapa.</w:t>
      </w:r>
    </w:p>
    <w:p/>
    <w:p>
      <w:pPr>
        <w:pStyle w:val="Heading1"/>
      </w:pPr>
      <w:r>
        <w:t>Carroceria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Carroceria — Posicion 16 de 143 | Puntuacion del modulo: 1,75</w:t>
      </w:r>
    </w:p>
    <w:p>
      <w:pPr>
        <w:pStyle w:val="ListBullet"/>
      </w:pPr>
      <w:r>
        <w:t>ICC - Fidelidad Mecanica: 29,0% (media 5,6%, Top20 1,9%). Alta captacion de clientes de mecanica hacia chapa.</w:t>
      </w:r>
    </w:p>
    <w:p>
      <w:pPr>
        <w:pStyle w:val="ListBullet"/>
      </w:pPr>
      <w:r>
        <w:t>ICC - Recup. Siniestros: 100% (media 96,7%, Top20 100%). Cumplimiento total del programa. Perfecto.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Facturacion Carroceria: -37,9% (media 42,8%, Top20 435,5%). Caida de facturacion frente al ano anterior.</w:t>
      </w:r>
    </w:p>
    <w:p>
      <w:pPr>
        <w:pStyle w:val="ListBullet"/>
      </w:pPr>
      <w:r>
        <w:t>ICC - Retencion Parque: -29,2% (media -10,7%, Top20 1,9%). Perdida de parque superior a la media.</w:t>
      </w:r>
    </w:p>
    <w:p/>
    <w:p>
      <w:pPr>
        <w:pStyle w:val="Heading1"/>
      </w:pPr>
      <w:r>
        <w:t>Personas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Modulo Personas — Posicion 118 de 143 | Puntuacion del modulo: 3,67</w:t>
      </w:r>
    </w:p>
    <w:p>
      <w:pPr>
        <w:pStyle w:val="ListBullet"/>
      </w:pPr>
      <w:r>
        <w:t>ICC - Formacion (% Certificados): 100% (media 99,2%, Top20 100%). Equipo totalmente certificado.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- Formacion (% No Asistencia): 14,49% (media 10,5%, Top20 0%). Absentismo superior a la media.</w:t>
      </w:r>
    </w:p>
    <w:p>
      <w:pPr>
        <w:pStyle w:val="ListBullet"/>
      </w:pPr>
      <w:r>
        <w:t>ICC - Retencion Personal: 89,7% (media 99,2%, Top20 100%). Rotacion de personal elevada. Critico.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posicion 1 de 143 | Puntuacion: 8,15</w:t>
      </w:r>
    </w:p>
    <w:p>
      <w:pPr>
        <w:pStyle w:val="ListBullet"/>
      </w:pPr>
      <w:r>
        <w:t>Iron Man ICC: posicion 1 en el ranking de marca. Posicion destacada (top 10).</w:t>
      </w:r>
    </w:p>
    <w:p>
      <w:pPr>
        <w:pStyle w:val="ListBullet"/>
      </w:pPr>
      <w:r>
        <w:t>Horch Lauden: posicion 27. Posicion aceptable.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301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Fecha limite</w:t>
            </w:r>
          </w:p>
        </w:tc>
        <w:tc>
          <w:tcPr>
            <w:tcW w:type="dxa" w:w="3010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3010"/>
          </w:tcPr>
          <w:p>
            <w:r>
              <w:t>Utilizar el Laser de desgaste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>
              <w:t/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