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Javier Pina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— Baterías: 19.39 pts (media equipo: 10.92 pts).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16º con 205.10 pts, por debajo de la media del equipo (253.34 pts).</w:t>
      </w:r>
    </w:p>
    <w:p>
      <w:pPr>
        <w:pStyle w:val="ListBullet"/>
      </w:pPr>
      <w:r>
        <w:t>Desgaste — Amortiguadores: 4.08 pts, por debajo de la media (19.41 pts).</w:t>
      </w:r>
    </w:p>
    <w:p>
      <w:pPr>
        <w:pStyle w:val="ListBullet"/>
      </w:pPr>
      <w:r>
        <w:t>Desgaste — Escobillas: 23.47 pts, por debajo de la media (55.78 pts).</w:t>
      </w:r>
    </w:p>
    <w:p>
      <w:pPr>
        <w:pStyle w:val="ListBullet"/>
      </w:pPr>
      <w:r>
        <w:t>Full/Long Drive: 5 operaciones, por debajo de la media del equipo (8).</w:t>
      </w:r>
    </w:p>
    <w:p>
      <w:pPr>
        <w:pStyle w:val="ListBullet"/>
      </w:pPr>
      <w:r>
        <w:t>Fidelidad de cliente: 57.98%, por debajo de la media del equipo (63.48%).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— resultado bueno.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Posición 13 en la competición Horch Lauden. Resultado de élite: top absoluto de la competición de marca.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