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— José María</w:t>
      </w:r>
    </w:p>
    <w:p>
      <w:pPr>
        <w:jc w:val="center"/>
      </w:pPr>
      <w:r>
        <w:rPr>
          <w:color w:val="444444"/>
          <w:sz w:val="24"/>
        </w:rPr>
        <w:t>Asesor de Servicio · Acumulado hasta Marzo 2026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— Neumáticos: 113.19 pts (media equipo: 80.83 pts).</w:t>
      </w:r>
    </w:p>
    <w:p>
      <w:pPr>
        <w:pStyle w:val="ListBullet"/>
      </w:pPr>
      <w:r>
        <w:t>Desgaste — Pastillas de freno: 60.42 pts (media equipo: 50.06 pts).</w:t>
      </w:r>
    </w:p>
    <w:p>
      <w:pPr>
        <w:pStyle w:val="ListBullet"/>
      </w:pPr>
      <w:r>
        <w:t>Fidelidad de cliente: 66.07%, en línea con la media del equipo (63.48%).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Desgaste: posición 14º con 225.00 pts, por debajo de la media del equipo (253.34 pts).</w:t>
      </w:r>
    </w:p>
    <w:p>
      <w:pPr>
        <w:pStyle w:val="ListBullet"/>
      </w:pPr>
      <w:r>
        <w:t>Desgaste — Amortiguadores: 11.11 pts, por debajo de la media (19.41 pts).</w:t>
      </w:r>
    </w:p>
    <w:p>
      <w:pPr>
        <w:pStyle w:val="ListBullet"/>
      </w:pPr>
      <w:r>
        <w:t>Desgaste — Baterías: 5.56 pts, por debajo de la media (10.92 pts).</w:t>
      </w:r>
    </w:p>
    <w:p>
      <w:pPr>
        <w:pStyle w:val="ListBullet"/>
      </w:pPr>
      <w:r>
        <w:t>Desgaste — Escobillas: 13.19 pts, por debajo de la media (55.78 pts).</w:t>
      </w:r>
    </w:p>
    <w:p>
      <w:pPr>
        <w:pStyle w:val="ListBullet"/>
      </w:pPr>
      <w:r>
        <w:t>Desgaste — Parabrisas: 4.86 pts, por debajo de la media (16.82 pts).</w:t>
      </w:r>
    </w:p>
    <w:p>
      <w:pPr>
        <w:pStyle w:val="ListBullet"/>
      </w:pPr>
      <w:r>
        <w:t>Full/Long Drive: 6 operaciones, por debajo de la media del equipo (8).</w:t>
      </w:r>
    </w:p>
    <w:p/>
    <w:p>
      <w:pPr>
        <w:pStyle w:val="Heading1"/>
      </w:pPr>
      <w:r>
        <w:t>Digital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5.00 — resultado bueno.</w:t>
      </w:r>
    </w:p>
    <w:p/>
    <w:p>
      <w:pPr>
        <w:pStyle w:val="Heading1"/>
      </w:pPr>
      <w:r>
        <w:t>Procesos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Recursos generales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Posición 211 en la competición Horch Lauden. Resultado por mejorar: alejado de las posiciones de cabeza.</w:t>
      </w:r>
    </w:p>
    <w:p/>
    <w:p>
      <w:pPr>
        <w:pStyle w:val="Heading1"/>
      </w:pPr>
      <w:r>
        <w:t>Tareas pendientes</w:t>
      </w:r>
    </w:p>
    <w:tbl>
      <w:tblPr>
        <w:tblStyle w:val="TableGrid"/>
        <w:tblW w:w="0" w:type="auto"/>
      </w:tblPr>
      <w:tr>
        <w:tc>
          <w:tcPr/>
          <w:p>
            <w:r>
              <w:rPr>
                <w:b/>
              </w:rPr>
              <w:t xml:space="preserve">Tarea</w:t>
            </w:r>
          </w:p>
        </w:tc>
        <w:tc>
          <w:tcPr/>
          <w:p>
            <w:r>
              <w:rPr>
                <w:b/>
              </w:rPr>
              <w:t xml:space="preserve">Responsable</w:t>
            </w:r>
          </w:p>
        </w:tc>
        <w:tc>
          <w:tcPr/>
          <w:p>
            <w:r>
              <w:rPr>
                <w:b/>
              </w:rPr>
              <w:t xml:space="preserve">Fecha límite</w:t>
            </w:r>
          </w:p>
        </w:tc>
        <w:tc>
          <w:tcPr/>
          <w:p>
            <w:r>
              <w:rPr>
                <w:b/>
              </w:rPr>
              <w:t>Grado de cumplimentación</w:t>
            </w:r>
          </w:p>
        </w:tc>
      </w:tr>
      <w:tr>
        <w:tc>
          <w:tcPr/>
          <w:p>
            <w:r>
              <w:t xml:space="preserve">Utilizar el Laser de desgaste</w:t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</w:tr>
    </w:tbl>
    <w:p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