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Moncloa VW — Marzo 2026</w:t>
      </w:r>
    </w:p>
    <w:p>
      <w:pPr>
        <w:jc w:val="center"/>
      </w:pPr>
      <w:r>
        <w:rPr>
          <w:color w:val="444444"/>
          <w:sz w:val="24"/>
        </w:rPr>
        <w:t>Jose Maria Campos · Moncloa VW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Proactividad Comercial — Posicion 53 de 166 | Puntuacion del modulo: 4,26</w:t>
      </w:r>
    </w:p>
    <w:p>
      <w:pPr>
        <w:pStyle w:val="ListBullet"/>
      </w:pPr>
      <w:r>
        <w:t>Desgaste total 235.29% (posicion 4/7 del ranking): por encima del umbral de referencia (220%).</w:t>
      </w:r>
    </w:p>
    <w:p>
      <w:pPr>
        <w:pStyle w:val="ListBullet"/>
      </w:pPr>
      <w:r>
        <w:t>Detalle por categoria: Amortiguadores: 20.59% | Baterias: 11.03% | Discos: 17.65% | Escobillas: 46.32% | Neumaticos: 79.41% | Pastillas: 60.29%.</w:t>
      </w:r>
    </w:p>
    <w:p>
      <w:pPr>
        <w:pStyle w:val="ListBullet"/>
      </w:pPr>
      <w:r>
        <w:t>Variacion recambios respecto a hace 2 anos: +79.37%.</w:t>
      </w:r>
    </w:p>
    <w:p>
      <w:pPr>
        <w:pStyle w:val="ListBullet"/>
      </w:pPr>
      <w:r>
        <w:t>Variacion mano de obra respecto a hace 2 anos: +52.18%.</w:t>
      </w:r>
    </w:p>
    <w:p>
      <w:pPr>
        <w:pStyle w:val="ListBullet"/>
      </w:pPr>
      <w:r>
        <w:t>ICC - Sust. Neumaticos: 42,7% (media 22,4%, Top20 40,7%). Excelente, nivel superior al Top 20.</w:t>
      </w:r>
    </w:p>
    <w:p>
      <w:pPr>
        <w:pStyle w:val="ListBullet"/>
      </w:pPr>
      <w:r>
        <w:t>ICC - Radar (Desgaste): 113,1% (media 99%, Top20 164%). Excelente, puntuacion maxima (10,00).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RGPD: 31,3% (media 74%, Top20 93%). Puntuacion 0,00. Nivel critico.</w:t>
      </w:r>
    </w:p>
    <w:p>
      <w:pPr>
        <w:pStyle w:val="ListBullet"/>
      </w:pPr>
      <w:r>
        <w:t>ICC - Ext. Garantia: 11,4% (media 49%, Top20 80%). Score critico de 0,50.</w:t>
      </w:r>
    </w:p>
    <w:p>
      <w:pPr>
        <w:pStyle w:val="ListBullet"/>
      </w:pPr>
      <w:r>
        <w:t>ICC - At. Comerciales: 0,0% (media 9%, Top20 49%). Resultado nulo. Score 0,00. Critico.</w:t>
      </w:r>
    </w:p>
    <w:p/>
    <w:p>
      <w:pPr>
        <w:pStyle w:val="Heading1"/>
      </w:pPr>
      <w:r>
        <w:t>Digital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Digital — Posicion 65 de 166 | Puntuacion del modulo: 5,42</w:t>
      </w:r>
    </w:p>
    <w:p>
      <w:pPr>
        <w:pStyle w:val="ListBullet"/>
      </w:pPr>
      <w:r>
        <w:t>ICC - Gestion de Leads: 100,0% (media 83%, Top20 100%). Maximo aprovechamiento. Perfecto.</w:t>
      </w:r>
    </w:p>
    <w:p>
      <w:pPr>
        <w:pStyle w:val="ListBullet"/>
      </w:pPr>
      <w:r>
        <w:t>ICC - Cita Online: 10,7% (media 1,3%, Top20 6,1%). Excelente, muy por encima de la red.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Recovery Conectividad: 2,3% (media 7,72%, Top20 21,47%). Rendimiento bajo.</w:t>
      </w:r>
    </w:p>
    <w:p>
      <w:pPr>
        <w:pStyle w:val="ListBullet"/>
      </w:pPr>
      <w:r>
        <w:t>ICC - ONE Score: 6,0 (media 6,6, Top20 8,8). Por debajo de la media.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Calidad — Posicion 52 de 166 | Puntuacion del modulo: 6,93</w:t>
      </w:r>
    </w:p>
    <w:p>
      <w:pPr>
        <w:pStyle w:val="ListBullet"/>
      </w:pPr>
      <w:r>
        <w:t>ICC - ICT (Incidencias): 0,0% (media 0,5%, Top20 0%). Sin reclamaciones. Perfecto.</w:t>
      </w:r>
    </w:p>
    <w:p>
      <w:pPr>
        <w:pStyle w:val="ListBullet"/>
      </w:pPr>
      <w:r>
        <w:t>ICC - Escalaciones At. C.: 0,0% (media 2,4%, Top20 0,0%). Gestion impecable de quejas.</w:t>
      </w:r>
    </w:p>
    <w:p>
      <w:pPr>
        <w:pStyle w:val="ListBullet"/>
      </w:pPr>
      <w:r>
        <w:t>ICC - Google BP: 100,0% (media 97,8%, Top20 100%). Maxima respuesta a resenas. Perfecto.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CAL1SEM: 4.00 (10 puntos Iron Man). Por debajo de 5. Revisar encuestas de satisfaccion.</w:t>
      </w:r>
    </w:p>
    <w:p>
      <w:pPr>
        <w:pStyle w:val="ListBullet"/>
      </w:pPr>
      <w:r>
        <w:t>ICC - Satisfaccion General (NPS): 61,5% (media 65,4%, Top20 96,2%). NPS por debajo de la media.</w:t>
      </w:r>
    </w:p>
    <w:p>
      <w:pPr>
        <w:pStyle w:val="ListBullet"/>
      </w:pPr>
      <w:r>
        <w:t>ICC - Serv. Movilidad: 28,9% (media 63,5%, Top20 161,4%). Uso de flota muy bajo. Critico.</w:t>
      </w:r>
    </w:p>
    <w:p/>
    <w:p>
      <w:pPr>
        <w:pStyle w:val="Heading1"/>
      </w:pPr>
      <w:r>
        <w:t>Procesos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Productividad: 92.69% sobre objetivo 93% (-0.31pp). Objetivo no alcanzado.</w:t>
      </w:r>
    </w:p>
    <w:p/>
    <w:p>
      <w:pPr>
        <w:pStyle w:val="Heading1"/>
      </w:pPr>
      <w:r>
        <w:t>Recursos generales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Recursos Generales — Posicion 71 de 166 | Puntuacion del modulo: 5,79</w:t>
      </w:r>
    </w:p>
    <w:p>
      <w:pPr>
        <w:pStyle w:val="ListBullet"/>
      </w:pPr>
      <w:r>
        <w:t>ICC - T. Ciclo Mecanica: 1,22 dias (media 2,07, Top20 1,86). Eficiencia maxima.</w:t>
      </w:r>
    </w:p>
    <w:p>
      <w:pPr>
        <w:pStyle w:val="ListBullet"/>
      </w:pPr>
      <w:r>
        <w:t>ICC - T. Cita Mecanica: 14,3 dias (media 15,02, Top20 12,83). En linea con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Ocupacion (PLATON): 75,1% (media 88,3%, Top20 101,22%). Baja carga tecnica.</w:t>
      </w:r>
    </w:p>
    <w:p>
      <w:pPr>
        <w:pStyle w:val="ListBullet"/>
      </w:pPr>
      <w:r>
        <w:t>ICC - Mantenim. &lt;24h: 11,5% (media 48,11%, Top20 73%). Muy baja rapidez. Critico.</w:t>
      </w:r>
    </w:p>
    <w:p/>
    <w:p>
      <w:pPr>
        <w:pStyle w:val="Heading1"/>
      </w:pPr>
      <w:r>
        <w:t>Carroceria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Carroceria — Posicion 75 de 166 | Puntuacion del modulo: 6,44</w:t>
      </w:r>
    </w:p>
    <w:p>
      <w:pPr>
        <w:pStyle w:val="ListBullet"/>
      </w:pPr>
      <w:r>
        <w:t>ICC - Recup. Siniestros: 100,0% (media 98,1%, Top20 100%). Gestion perfecta del programa.</w:t>
      </w:r>
    </w:p>
    <w:p>
      <w:pPr>
        <w:pStyle w:val="ListBullet"/>
      </w:pPr>
      <w:r>
        <w:t>ICC - Retencion Parque: -1,0% (media 0,2%). Score positivo pese a tendencia.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Facturacion Carroceria: -60,4% (media 50,2%, Top20 418%). Caida masiva de facturacion. Critico.</w:t>
      </w:r>
    </w:p>
    <w:p/>
    <w:p>
      <w:pPr>
        <w:pStyle w:val="Heading1"/>
      </w:pPr>
      <w:r>
        <w:t>Personas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Personas — Posicion 138 de 166 | Puntuacion del modulo: 4,42</w:t>
      </w:r>
    </w:p>
    <w:p>
      <w:pPr>
        <w:pStyle w:val="ListBullet"/>
      </w:pPr>
      <w:r>
        <w:t>ICC - Formacion (% Certificados): 100,0% (media 99,15%, Top20 100%). Equipo totalmente certificado.</w:t>
      </w:r>
    </w:p>
    <w:p>
      <w:pPr>
        <w:pStyle w:val="ListBullet"/>
      </w:pPr>
      <w:r>
        <w:t>ICC - Retencion Personal: 94,7% (media 88,8%, Top20 100%). Superior a la media nacional.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Formacion (% No Asistencia): 51,9% (media 8,8%, Top20 0%). Absentismo masivo. Critico.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posicion 60 de 166 | Puntuacion: 5,48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Iron Man ICC: posicion 60 en el ranking de marca. Margen de mejora significativo.</w:t>
      </w:r>
    </w:p>
    <w:p>
      <w:pPr>
        <w:pStyle w:val="ListBullet"/>
      </w:pPr>
      <w:r>
        <w:t>Horch Lauden: posicion 67. Posicion alejada del top. Requiere atencion.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301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3010"/>
          </w:tcPr>
          <w:p>
            <w:r>
              <w:t>Utilizar el Laser de desgaste</w:t>
            </w:r>
          </w:p>
        </w:tc>
        <w:tc>
          <w:tcPr>
            <w:tcW w:type="dxa" w:w="3010"/>
          </w:tcPr>
          <w:p>
            <w:r/>
          </w:p>
        </w:tc>
        <w:tc>
          <w:tcPr>
            <w:tcW w:type="dxa" w:w="3010"/>
          </w:tcPr>
          <w:p>
            <w:r/>
          </w:p>
        </w:tc>
        <w:tc>
          <w:tcPr>
            <w:tcW w:type="dxa" w:w="3010"/>
          </w:tcPr>
          <w:p>
            <w:r>
              <w:t/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